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17D0" w14:textId="77777777" w:rsidR="00F53A9D" w:rsidRPr="00F53A9D" w:rsidRDefault="00F53A9D">
      <w:pPr>
        <w:rPr>
          <w:u w:val="single"/>
        </w:rPr>
      </w:pPr>
      <w:r w:rsidRPr="00F53A9D">
        <w:rPr>
          <w:u w:val="single"/>
        </w:rPr>
        <w:t xml:space="preserve">CV </w:t>
      </w:r>
    </w:p>
    <w:p w14:paraId="2BF02DF8" w14:textId="7ED4084B" w:rsidR="00F37C4D" w:rsidRDefault="00F53A9D">
      <w:r>
        <w:t>Professeur de droit public à l’Université Paris 1 Panthéon-Sorbonne depuis septembre 2021</w:t>
      </w:r>
    </w:p>
    <w:p w14:paraId="4C641084" w14:textId="77777777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bookmarkStart w:id="0" w:name="_Hlk64621399"/>
      <w:r w:rsidRPr="00F53A9D">
        <w:rPr>
          <w:rFonts w:ascii="Garamond" w:hAnsi="Garamond"/>
          <w:bCs/>
          <w:sz w:val="24"/>
          <w:szCs w:val="24"/>
        </w:rPr>
        <w:t>Membre titulaire du CNU Section droit public (1</w:t>
      </w:r>
      <w:r w:rsidRPr="00F53A9D">
        <w:rPr>
          <w:rFonts w:ascii="Garamond" w:hAnsi="Garamond"/>
          <w:bCs/>
          <w:sz w:val="24"/>
          <w:szCs w:val="24"/>
          <w:vertAlign w:val="superscript"/>
        </w:rPr>
        <w:t>er</w:t>
      </w:r>
      <w:r w:rsidRPr="00F53A9D">
        <w:rPr>
          <w:rFonts w:ascii="Garamond" w:hAnsi="Garamond"/>
          <w:bCs/>
          <w:sz w:val="24"/>
          <w:szCs w:val="24"/>
        </w:rPr>
        <w:t xml:space="preserve"> janvier 2016-septembre 2019)</w:t>
      </w:r>
    </w:p>
    <w:p w14:paraId="35DA7E9B" w14:textId="77777777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sz w:val="24"/>
          <w:szCs w:val="24"/>
        </w:rPr>
        <w:t>Membre du Conseil national de la formation des élus locaux (CNFEL) (1</w:t>
      </w:r>
      <w:r w:rsidRPr="00F53A9D">
        <w:rPr>
          <w:rFonts w:ascii="Garamond" w:hAnsi="Garamond"/>
          <w:bCs/>
          <w:sz w:val="24"/>
          <w:szCs w:val="24"/>
          <w:vertAlign w:val="superscript"/>
        </w:rPr>
        <w:t>er</w:t>
      </w:r>
      <w:r w:rsidRPr="00F53A9D">
        <w:rPr>
          <w:rFonts w:ascii="Garamond" w:hAnsi="Garamond"/>
          <w:bCs/>
          <w:sz w:val="24"/>
          <w:szCs w:val="24"/>
        </w:rPr>
        <w:t xml:space="preserve"> janvier 2017-septembre 2020)</w:t>
      </w:r>
    </w:p>
    <w:bookmarkEnd w:id="0"/>
    <w:p w14:paraId="55B553A4" w14:textId="77777777" w:rsidR="00F53A9D" w:rsidRPr="00F53A9D" w:rsidRDefault="00F53A9D" w:rsidP="00F53A9D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sz w:val="24"/>
          <w:szCs w:val="24"/>
        </w:rPr>
        <w:t>Membre du Conseil scientifique du GRALE depuis octobre 2019</w:t>
      </w:r>
    </w:p>
    <w:p w14:paraId="62980390" w14:textId="77777777" w:rsidR="004B1146" w:rsidRDefault="004B1146">
      <w:pPr>
        <w:rPr>
          <w:bCs/>
          <w:u w:val="single"/>
        </w:rPr>
      </w:pPr>
      <w:r>
        <w:rPr>
          <w:bCs/>
          <w:u w:val="single"/>
        </w:rPr>
        <w:t>Thèmes de recherche</w:t>
      </w:r>
    </w:p>
    <w:p w14:paraId="0426FDEE" w14:textId="77777777" w:rsidR="00FB5C83" w:rsidRPr="00FB5C83" w:rsidRDefault="004B1146" w:rsidP="00FB5C83">
      <w:pPr>
        <w:jc w:val="both"/>
        <w:rPr>
          <w:bCs/>
          <w:sz w:val="24"/>
          <w:szCs w:val="24"/>
        </w:rPr>
      </w:pPr>
      <w:r w:rsidRPr="00FB5C83">
        <w:rPr>
          <w:bCs/>
          <w:sz w:val="24"/>
          <w:szCs w:val="24"/>
        </w:rPr>
        <w:t>Droit administratif, droit des collectivités territoriales, droit du contentieux administratif, droit des bie</w:t>
      </w:r>
      <w:r w:rsidR="00FB5C83" w:rsidRPr="00FB5C83">
        <w:rPr>
          <w:bCs/>
          <w:sz w:val="24"/>
          <w:szCs w:val="24"/>
        </w:rPr>
        <w:t>ns publics</w:t>
      </w:r>
    </w:p>
    <w:p w14:paraId="07DABE55" w14:textId="07312A0E" w:rsidR="00F53A9D" w:rsidRPr="00F53A9D" w:rsidRDefault="00F53A9D">
      <w:pPr>
        <w:rPr>
          <w:bCs/>
          <w:u w:val="single"/>
        </w:rPr>
      </w:pPr>
      <w:r w:rsidRPr="00F53A9D">
        <w:rPr>
          <w:bCs/>
          <w:u w:val="single"/>
        </w:rPr>
        <w:t xml:space="preserve">Publications depuis 2012 : </w:t>
      </w:r>
    </w:p>
    <w:p w14:paraId="35E5D598" w14:textId="4B2CA998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bCs/>
          <w:u w:val="single"/>
        </w:rPr>
        <w:t>Ouvrages :</w:t>
      </w:r>
      <w:r>
        <w:rPr>
          <w:bCs/>
        </w:rPr>
        <w:t xml:space="preserve"> </w:t>
      </w:r>
      <w:r w:rsidRPr="00F53A9D">
        <w:rPr>
          <w:rFonts w:ascii="Garamond" w:hAnsi="Garamond"/>
          <w:bCs/>
          <w:i/>
          <w:sz w:val="24"/>
          <w:szCs w:val="24"/>
        </w:rPr>
        <w:t>Droit des collectivités territoriales</w:t>
      </w:r>
      <w:r w:rsidRPr="00F53A9D">
        <w:rPr>
          <w:rFonts w:ascii="Garamond" w:hAnsi="Garamond"/>
          <w:bCs/>
          <w:sz w:val="24"/>
          <w:szCs w:val="24"/>
        </w:rPr>
        <w:t xml:space="preserve">, avec M.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Verpeaux</w:t>
      </w:r>
      <w:proofErr w:type="spellEnd"/>
      <w:r w:rsidRPr="00F53A9D">
        <w:rPr>
          <w:rFonts w:ascii="Garamond" w:hAnsi="Garamond"/>
          <w:bCs/>
          <w:sz w:val="24"/>
          <w:szCs w:val="24"/>
        </w:rPr>
        <w:t>, LGDJ, coll. Manuel, Lextenso, 2</w:t>
      </w:r>
      <w:r w:rsidRPr="00F53A9D">
        <w:rPr>
          <w:rFonts w:ascii="Garamond" w:hAnsi="Garamond"/>
          <w:bCs/>
          <w:sz w:val="24"/>
          <w:szCs w:val="24"/>
          <w:vertAlign w:val="superscript"/>
        </w:rPr>
        <w:t>ème</w:t>
      </w:r>
      <w:r w:rsidRPr="00F53A9D">
        <w:rPr>
          <w:rFonts w:ascii="Garamond" w:hAnsi="Garamond"/>
          <w:bCs/>
          <w:sz w:val="24"/>
          <w:szCs w:val="24"/>
        </w:rPr>
        <w:t xml:space="preserve"> édition, septembre 2021</w:t>
      </w:r>
    </w:p>
    <w:p w14:paraId="4D3FFB17" w14:textId="30879059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sz w:val="24"/>
          <w:szCs w:val="24"/>
        </w:rPr>
        <w:t>Commenta</w:t>
      </w:r>
      <w:r>
        <w:rPr>
          <w:rFonts w:ascii="Garamond" w:hAnsi="Garamond"/>
          <w:bCs/>
          <w:sz w:val="24"/>
          <w:szCs w:val="24"/>
        </w:rPr>
        <w:t>teur d</w:t>
      </w:r>
      <w:r w:rsidRPr="00F53A9D">
        <w:rPr>
          <w:rFonts w:ascii="Garamond" w:hAnsi="Garamond"/>
          <w:bCs/>
          <w:sz w:val="24"/>
          <w:szCs w:val="24"/>
        </w:rPr>
        <w:t>u Code général des collectivités territoriales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F53A9D">
        <w:rPr>
          <w:rFonts w:ascii="Garamond" w:hAnsi="Garamond"/>
          <w:bCs/>
          <w:sz w:val="24"/>
          <w:szCs w:val="24"/>
        </w:rPr>
        <w:t>depuis 2016</w:t>
      </w:r>
    </w:p>
    <w:p w14:paraId="310E669D" w14:textId="1630596F" w:rsidR="00F53A9D" w:rsidRPr="00F53A9D" w:rsidRDefault="00F53A9D">
      <w:pPr>
        <w:rPr>
          <w:bCs/>
          <w:u w:val="single"/>
        </w:rPr>
      </w:pPr>
      <w:r w:rsidRPr="00F53A9D">
        <w:rPr>
          <w:bCs/>
          <w:u w:val="single"/>
        </w:rPr>
        <w:t xml:space="preserve">Direction d’ouvrages </w:t>
      </w:r>
    </w:p>
    <w:p w14:paraId="54F10293" w14:textId="6B5F72EF" w:rsidR="00F53A9D" w:rsidRPr="00F53A9D" w:rsidRDefault="00F53A9D" w:rsidP="00F53A9D">
      <w:pPr>
        <w:jc w:val="both"/>
        <w:rPr>
          <w:rFonts w:ascii="Garamond" w:hAnsi="Garamond"/>
          <w:bCs/>
          <w:iCs/>
          <w:sz w:val="24"/>
          <w:szCs w:val="24"/>
        </w:rPr>
      </w:pPr>
      <w:r w:rsidRPr="00F53A9D">
        <w:rPr>
          <w:rFonts w:ascii="Garamond" w:hAnsi="Garamond"/>
          <w:bCs/>
          <w:i/>
          <w:sz w:val="24"/>
          <w:szCs w:val="24"/>
        </w:rPr>
        <w:t>Les sanctions administratives</w:t>
      </w:r>
      <w:r w:rsidRPr="00F53A9D">
        <w:rPr>
          <w:rFonts w:ascii="Garamond" w:hAnsi="Garamond"/>
          <w:bCs/>
          <w:iCs/>
          <w:sz w:val="24"/>
          <w:szCs w:val="24"/>
        </w:rPr>
        <w:t>, sous la direction de L. Janicot, avec P. Bourdon, Lextenso, Collection LEJEP, à paraître en janvier 2022</w:t>
      </w:r>
    </w:p>
    <w:p w14:paraId="3CFC9CBE" w14:textId="0CD659B5" w:rsidR="00F53A9D" w:rsidRPr="00F53A9D" w:rsidRDefault="00F53A9D" w:rsidP="00F53A9D">
      <w:pPr>
        <w:jc w:val="both"/>
        <w:rPr>
          <w:rFonts w:ascii="Garamond" w:hAnsi="Garamond"/>
          <w:bCs/>
          <w:iCs/>
          <w:sz w:val="24"/>
          <w:szCs w:val="24"/>
        </w:rPr>
      </w:pPr>
      <w:bookmarkStart w:id="1" w:name="_Hlk64621254"/>
      <w:r w:rsidRPr="00F53A9D">
        <w:rPr>
          <w:rFonts w:ascii="Garamond" w:hAnsi="Garamond"/>
          <w:bCs/>
          <w:i/>
          <w:sz w:val="24"/>
          <w:szCs w:val="24"/>
        </w:rPr>
        <w:t xml:space="preserve">Collectivités territoriales et protection de l’environnement, </w:t>
      </w:r>
      <w:r w:rsidRPr="00F53A9D">
        <w:rPr>
          <w:rFonts w:ascii="Garamond" w:hAnsi="Garamond"/>
          <w:bCs/>
          <w:iCs/>
          <w:sz w:val="24"/>
          <w:szCs w:val="24"/>
        </w:rPr>
        <w:t>sous la direction de L. Janicot, Berger-Levrault, janvier 2021</w:t>
      </w:r>
    </w:p>
    <w:bookmarkEnd w:id="1"/>
    <w:p w14:paraId="4215E89C" w14:textId="1FA6312A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sz w:val="24"/>
          <w:szCs w:val="24"/>
        </w:rPr>
        <w:t>Comité d’organisation</w:t>
      </w:r>
      <w:r w:rsidRPr="00F53A9D">
        <w:rPr>
          <w:rFonts w:ascii="Garamond" w:hAnsi="Garamond"/>
          <w:bCs/>
          <w:i/>
          <w:sz w:val="24"/>
          <w:szCs w:val="24"/>
        </w:rPr>
        <w:t xml:space="preserve"> </w:t>
      </w:r>
      <w:r w:rsidRPr="00F53A9D">
        <w:rPr>
          <w:rFonts w:ascii="Garamond" w:hAnsi="Garamond"/>
          <w:bCs/>
          <w:sz w:val="24"/>
          <w:szCs w:val="24"/>
        </w:rPr>
        <w:t>pour les</w:t>
      </w:r>
      <w:r w:rsidRPr="00F53A9D">
        <w:rPr>
          <w:rFonts w:ascii="Garamond" w:hAnsi="Garamond"/>
          <w:bCs/>
          <w:i/>
          <w:sz w:val="24"/>
          <w:szCs w:val="24"/>
        </w:rPr>
        <w:t xml:space="preserve"> Mélanges en l’honneur de Michel </w:t>
      </w:r>
      <w:proofErr w:type="spellStart"/>
      <w:r w:rsidRPr="00F53A9D">
        <w:rPr>
          <w:rFonts w:ascii="Garamond" w:hAnsi="Garamond"/>
          <w:bCs/>
          <w:i/>
          <w:sz w:val="24"/>
          <w:szCs w:val="24"/>
        </w:rPr>
        <w:t>Verpeaux</w:t>
      </w:r>
      <w:proofErr w:type="spellEnd"/>
      <w:r w:rsidRPr="00F53A9D">
        <w:rPr>
          <w:rFonts w:ascii="Garamond" w:hAnsi="Garamond"/>
          <w:bCs/>
          <w:sz w:val="24"/>
          <w:szCs w:val="24"/>
        </w:rPr>
        <w:t xml:space="preserve">, </w:t>
      </w:r>
      <w:r w:rsidRPr="00F53A9D">
        <w:rPr>
          <w:rFonts w:ascii="Garamond" w:hAnsi="Garamond"/>
          <w:bCs/>
          <w:i/>
          <w:iCs/>
          <w:sz w:val="24"/>
          <w:szCs w:val="24"/>
        </w:rPr>
        <w:t>Révolution, Constitution, Décentralisation</w:t>
      </w:r>
      <w:r w:rsidRPr="00F53A9D">
        <w:rPr>
          <w:rFonts w:ascii="Garamond" w:hAnsi="Garamond"/>
          <w:bCs/>
          <w:sz w:val="24"/>
          <w:szCs w:val="24"/>
        </w:rPr>
        <w:t xml:space="preserve">, avec M.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Heitzmann</w:t>
      </w:r>
      <w:proofErr w:type="spellEnd"/>
      <w:r w:rsidRPr="00F53A9D">
        <w:rPr>
          <w:rFonts w:ascii="Garamond" w:hAnsi="Garamond"/>
          <w:bCs/>
          <w:sz w:val="24"/>
          <w:szCs w:val="24"/>
        </w:rPr>
        <w:t xml:space="preserve">-Patin, P. de Montalivet, A.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Roblot-Troizier</w:t>
      </w:r>
      <w:proofErr w:type="spellEnd"/>
      <w:r w:rsidRPr="00F53A9D">
        <w:rPr>
          <w:rFonts w:ascii="Garamond" w:hAnsi="Garamond"/>
          <w:bCs/>
          <w:sz w:val="24"/>
          <w:szCs w:val="24"/>
        </w:rPr>
        <w:t>, A. Vidal-Naquet, Dalloz, octobre 2020</w:t>
      </w:r>
    </w:p>
    <w:p w14:paraId="5D897C5E" w14:textId="600A7ED6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i/>
          <w:sz w:val="24"/>
          <w:szCs w:val="24"/>
        </w:rPr>
        <w:t xml:space="preserve">Regards croisés sur la procédure administrative contentieuse et la procédure civile, </w:t>
      </w:r>
      <w:r w:rsidRPr="00F53A9D">
        <w:rPr>
          <w:rFonts w:ascii="Garamond" w:hAnsi="Garamond"/>
          <w:bCs/>
          <w:sz w:val="24"/>
          <w:szCs w:val="24"/>
        </w:rPr>
        <w:t xml:space="preserve">Actes du colloque organisé au Tribunal administratif, le 7 décembre 2018, en codirection avec </w:t>
      </w:r>
      <w:proofErr w:type="spellStart"/>
      <w:r w:rsidRPr="00F53A9D">
        <w:rPr>
          <w:rFonts w:ascii="Garamond" w:hAnsi="Garamond"/>
          <w:bCs/>
          <w:sz w:val="24"/>
          <w:szCs w:val="24"/>
        </w:rPr>
        <w:t>J.-Ch</w:t>
      </w:r>
      <w:proofErr w:type="spellEnd"/>
      <w:r w:rsidRPr="00F53A9D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Rotoullié</w:t>
      </w:r>
      <w:proofErr w:type="spellEnd"/>
      <w:r w:rsidRPr="00F53A9D">
        <w:rPr>
          <w:rFonts w:ascii="Garamond" w:hAnsi="Garamond"/>
          <w:bCs/>
          <w:sz w:val="24"/>
          <w:szCs w:val="24"/>
        </w:rPr>
        <w:t>, Lextenso, collection LEJEP, 2019</w:t>
      </w:r>
    </w:p>
    <w:p w14:paraId="7E74F7DD" w14:textId="4E5D1584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i/>
          <w:sz w:val="24"/>
          <w:szCs w:val="24"/>
        </w:rPr>
        <w:t>Quel(s) avenir (s) pour les départements</w:t>
      </w:r>
      <w:r w:rsidRPr="00F53A9D">
        <w:rPr>
          <w:rFonts w:ascii="Garamond" w:hAnsi="Garamond"/>
          <w:bCs/>
          <w:sz w:val="24"/>
          <w:szCs w:val="24"/>
        </w:rPr>
        <w:t> ? en codirection avec N. Ferreira, Lextenso, collection LEJEP, 2016</w:t>
      </w:r>
    </w:p>
    <w:p w14:paraId="6855D1B1" w14:textId="39E98741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i/>
          <w:sz w:val="24"/>
          <w:szCs w:val="24"/>
        </w:rPr>
        <w:t xml:space="preserve">Les villes capitales, miroirs de </w:t>
      </w:r>
      <w:proofErr w:type="gramStart"/>
      <w:r w:rsidRPr="00F53A9D">
        <w:rPr>
          <w:rFonts w:ascii="Garamond" w:hAnsi="Garamond"/>
          <w:bCs/>
          <w:i/>
          <w:sz w:val="24"/>
          <w:szCs w:val="24"/>
        </w:rPr>
        <w:t>l’Etat ?</w:t>
      </w:r>
      <w:r w:rsidRPr="00F53A9D">
        <w:rPr>
          <w:rFonts w:ascii="Garamond" w:hAnsi="Garamond"/>
          <w:bCs/>
          <w:sz w:val="24"/>
          <w:szCs w:val="24"/>
        </w:rPr>
        <w:t>,</w:t>
      </w:r>
      <w:proofErr w:type="gramEnd"/>
      <w:r w:rsidRPr="00F53A9D">
        <w:rPr>
          <w:rFonts w:ascii="Garamond" w:hAnsi="Garamond"/>
          <w:bCs/>
          <w:sz w:val="24"/>
          <w:szCs w:val="24"/>
        </w:rPr>
        <w:t xml:space="preserve"> en codirection avec O.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Renaudie</w:t>
      </w:r>
      <w:proofErr w:type="spellEnd"/>
      <w:r w:rsidRPr="00F53A9D">
        <w:rPr>
          <w:rFonts w:ascii="Garamond" w:hAnsi="Garamond"/>
          <w:bCs/>
          <w:sz w:val="24"/>
          <w:szCs w:val="24"/>
        </w:rPr>
        <w:t xml:space="preserve"> et F.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Lafaille</w:t>
      </w:r>
      <w:proofErr w:type="spellEnd"/>
      <w:r w:rsidRPr="00F53A9D">
        <w:rPr>
          <w:rFonts w:ascii="Garamond" w:hAnsi="Garamond"/>
          <w:bCs/>
          <w:sz w:val="24"/>
          <w:szCs w:val="24"/>
        </w:rPr>
        <w:t>, Lextenso, collection LEJEP, 2015</w:t>
      </w:r>
    </w:p>
    <w:p w14:paraId="3F5A6F9B" w14:textId="643C4AE9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i/>
          <w:sz w:val="24"/>
          <w:szCs w:val="24"/>
        </w:rPr>
        <w:t>Les collectivités territoriales et l’élection présidentielle</w:t>
      </w:r>
      <w:r w:rsidRPr="00F53A9D">
        <w:rPr>
          <w:rFonts w:ascii="Garamond" w:hAnsi="Garamond"/>
          <w:bCs/>
          <w:sz w:val="24"/>
          <w:szCs w:val="24"/>
        </w:rPr>
        <w:t>, en codirection avec N. Ferreira et A. Bel, Lextenso, collection LEJEP, 2013</w:t>
      </w:r>
    </w:p>
    <w:p w14:paraId="0B787443" w14:textId="7F728A3D" w:rsidR="00F53A9D" w:rsidRPr="00F53A9D" w:rsidRDefault="00F53A9D" w:rsidP="00F53A9D">
      <w:pPr>
        <w:jc w:val="both"/>
        <w:rPr>
          <w:rFonts w:ascii="Garamond" w:hAnsi="Garamond"/>
          <w:bCs/>
          <w:sz w:val="24"/>
          <w:szCs w:val="24"/>
        </w:rPr>
      </w:pPr>
      <w:r w:rsidRPr="00F53A9D">
        <w:rPr>
          <w:rFonts w:ascii="Garamond" w:hAnsi="Garamond"/>
          <w:bCs/>
          <w:i/>
          <w:sz w:val="24"/>
          <w:szCs w:val="24"/>
        </w:rPr>
        <w:t>L’efficacité de l’acte normatif. Nouvelle norme, nouvelles normativités</w:t>
      </w:r>
      <w:r w:rsidRPr="00F53A9D">
        <w:rPr>
          <w:rFonts w:ascii="Garamond" w:hAnsi="Garamond"/>
          <w:bCs/>
          <w:sz w:val="24"/>
          <w:szCs w:val="24"/>
        </w:rPr>
        <w:t xml:space="preserve">, en codirection avec P. </w:t>
      </w:r>
      <w:proofErr w:type="spellStart"/>
      <w:r w:rsidRPr="00F53A9D">
        <w:rPr>
          <w:rFonts w:ascii="Garamond" w:hAnsi="Garamond"/>
          <w:bCs/>
          <w:sz w:val="24"/>
          <w:szCs w:val="24"/>
        </w:rPr>
        <w:t>Hammje</w:t>
      </w:r>
      <w:proofErr w:type="spellEnd"/>
      <w:r w:rsidRPr="00F53A9D">
        <w:rPr>
          <w:rFonts w:ascii="Garamond" w:hAnsi="Garamond"/>
          <w:bCs/>
          <w:sz w:val="24"/>
          <w:szCs w:val="24"/>
        </w:rPr>
        <w:t xml:space="preserve"> et S. Nadal, Lextenso, collection LEJEP, 2013</w:t>
      </w:r>
    </w:p>
    <w:p w14:paraId="611FFABE" w14:textId="55918F7F" w:rsidR="00F53A9D" w:rsidRPr="00363718" w:rsidRDefault="00363718">
      <w:pPr>
        <w:rPr>
          <w:bCs/>
          <w:u w:val="single"/>
        </w:rPr>
      </w:pPr>
      <w:r w:rsidRPr="00363718">
        <w:rPr>
          <w:bCs/>
          <w:u w:val="single"/>
        </w:rPr>
        <w:t>Articles et chapitres d’ouvrages</w:t>
      </w:r>
    </w:p>
    <w:p w14:paraId="7C97DC34" w14:textId="6AC58B4B" w:rsidR="004B1146" w:rsidRPr="004B1146" w:rsidRDefault="004B1146" w:rsidP="00363718">
      <w:pPr>
        <w:spacing w:line="240" w:lineRule="auto"/>
        <w:jc w:val="both"/>
        <w:rPr>
          <w:rFonts w:ascii="Garamond" w:hAnsi="Garamond" w:cs="Arial"/>
          <w:bCs/>
          <w:sz w:val="24"/>
          <w:szCs w:val="24"/>
          <w:u w:val="single"/>
        </w:rPr>
      </w:pPr>
      <w:bookmarkStart w:id="2" w:name="_Hlk25135924"/>
      <w:bookmarkStart w:id="3" w:name="_Hlk64621271"/>
      <w:bookmarkStart w:id="4" w:name="_Hlk70062219"/>
      <w:r w:rsidRPr="004B1146">
        <w:rPr>
          <w:rFonts w:ascii="Garamond" w:hAnsi="Garamond" w:cs="Arial"/>
          <w:bCs/>
          <w:sz w:val="24"/>
          <w:szCs w:val="24"/>
          <w:u w:val="single"/>
        </w:rPr>
        <w:t>-Droit administratif général</w:t>
      </w:r>
    </w:p>
    <w:p w14:paraId="20650F77" w14:textId="128E6A7C" w:rsidR="00363718" w:rsidRPr="00363718" w:rsidRDefault="00363718" w:rsidP="00363718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La gouvernance durant la période de la crise sanitaire liée au COVID », </w:t>
      </w:r>
      <w:r w:rsidRPr="00363718">
        <w:rPr>
          <w:rFonts w:ascii="Garamond" w:hAnsi="Garamond" w:cs="Arial"/>
          <w:bCs/>
          <w:i/>
          <w:iCs/>
          <w:sz w:val="24"/>
          <w:szCs w:val="24"/>
        </w:rPr>
        <w:t>Droit et Ville</w:t>
      </w:r>
      <w:r w:rsidRPr="00363718">
        <w:rPr>
          <w:rFonts w:ascii="Garamond" w:hAnsi="Garamond" w:cs="Arial"/>
          <w:bCs/>
          <w:iCs/>
          <w:sz w:val="24"/>
          <w:szCs w:val="24"/>
        </w:rPr>
        <w:t xml:space="preserve">, </w:t>
      </w:r>
      <w:r w:rsidRPr="00363718">
        <w:rPr>
          <w:rFonts w:ascii="Garamond" w:hAnsi="Garamond" w:cs="Arial"/>
          <w:bCs/>
          <w:iCs/>
          <w:sz w:val="24"/>
          <w:szCs w:val="24"/>
        </w:rPr>
        <w:t>2021/1, n° 91</w:t>
      </w:r>
      <w:r w:rsidRPr="00363718">
        <w:rPr>
          <w:rFonts w:ascii="Garamond" w:hAnsi="Garamond" w:cs="Arial"/>
          <w:bCs/>
          <w:sz w:val="24"/>
          <w:szCs w:val="24"/>
        </w:rPr>
        <w:t>, p. 51</w:t>
      </w:r>
    </w:p>
    <w:p w14:paraId="600F0FDC" w14:textId="159A9A26" w:rsidR="00363718" w:rsidRPr="00363718" w:rsidRDefault="00363718" w:rsidP="00363718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>« </w:t>
      </w:r>
      <w:r w:rsidRPr="00363718">
        <w:rPr>
          <w:rFonts w:ascii="Garamond" w:hAnsi="Garamond" w:cs="Arial"/>
          <w:bCs/>
          <w:sz w:val="24"/>
          <w:szCs w:val="24"/>
        </w:rPr>
        <w:t xml:space="preserve">L’enrichissement sans cause » avec H.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Hoepffner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, </w:t>
      </w:r>
      <w:r w:rsidRPr="00363718">
        <w:rPr>
          <w:rFonts w:ascii="Garamond" w:hAnsi="Garamond" w:cs="Arial"/>
          <w:bCs/>
          <w:i/>
          <w:iCs/>
          <w:sz w:val="24"/>
          <w:szCs w:val="24"/>
        </w:rPr>
        <w:t>AJDA</w:t>
      </w:r>
      <w:r w:rsidRPr="00363718">
        <w:rPr>
          <w:rFonts w:ascii="Garamond" w:hAnsi="Garamond" w:cs="Arial"/>
          <w:bCs/>
          <w:iCs/>
          <w:sz w:val="24"/>
          <w:szCs w:val="24"/>
        </w:rPr>
        <w:t>, Dossier « Les quasi-contrats »,</w:t>
      </w:r>
      <w:r w:rsidRPr="00363718">
        <w:rPr>
          <w:rFonts w:ascii="Garamond" w:hAnsi="Garamond" w:cs="Arial"/>
          <w:bCs/>
          <w:sz w:val="24"/>
          <w:szCs w:val="24"/>
        </w:rPr>
        <w:t xml:space="preserve"> 2021, p. 333</w:t>
      </w:r>
    </w:p>
    <w:p w14:paraId="3CE05DA3" w14:textId="20B53BAA" w:rsidR="00363718" w:rsidRPr="00363718" w:rsidRDefault="00363718" w:rsidP="00363718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>« </w:t>
      </w:r>
      <w:r w:rsidRPr="00363718">
        <w:rPr>
          <w:rFonts w:ascii="Garamond" w:hAnsi="Garamond"/>
          <w:bCs/>
          <w:sz w:val="24"/>
          <w:szCs w:val="24"/>
        </w:rPr>
        <w:t>Réflexions sur une nouvelle voie entre l’annulation sèche et l’annulation différée. La définition de règles provisoires par le juge de l’excès de pouvoir », RFDA 2021 n° 1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4B1146">
        <w:rPr>
          <w:rFonts w:ascii="Garamond" w:hAnsi="Garamond"/>
          <w:bCs/>
          <w:sz w:val="24"/>
          <w:szCs w:val="24"/>
        </w:rPr>
        <w:t xml:space="preserve">p. </w:t>
      </w:r>
      <w:r>
        <w:rPr>
          <w:rFonts w:ascii="Garamond" w:hAnsi="Garamond"/>
          <w:bCs/>
          <w:sz w:val="24"/>
          <w:szCs w:val="24"/>
        </w:rPr>
        <w:t>41.</w:t>
      </w:r>
    </w:p>
    <w:p w14:paraId="06751394" w14:textId="2A6BCEE6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bookmarkStart w:id="5" w:name="_Hlk64621282"/>
      <w:bookmarkEnd w:id="3"/>
      <w:r w:rsidRPr="00363718">
        <w:rPr>
          <w:rFonts w:ascii="Garamond" w:hAnsi="Garamond"/>
          <w:bCs/>
          <w:sz w:val="24"/>
          <w:szCs w:val="24"/>
        </w:rPr>
        <w:t xml:space="preserve">« Les personnes publiques et les contrats portant obligation réelle environnementale », avec </w:t>
      </w:r>
      <w:proofErr w:type="spellStart"/>
      <w:r w:rsidRPr="00363718">
        <w:rPr>
          <w:rFonts w:ascii="Garamond" w:hAnsi="Garamond"/>
          <w:bCs/>
          <w:sz w:val="24"/>
          <w:szCs w:val="24"/>
        </w:rPr>
        <w:t>J.-Ch</w:t>
      </w:r>
      <w:proofErr w:type="spellEnd"/>
      <w:r w:rsidRPr="00363718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363718">
        <w:rPr>
          <w:rFonts w:ascii="Garamond" w:hAnsi="Garamond"/>
          <w:bCs/>
          <w:sz w:val="24"/>
          <w:szCs w:val="24"/>
        </w:rPr>
        <w:t>Rotoullié</w:t>
      </w:r>
      <w:proofErr w:type="spellEnd"/>
      <w:r w:rsidRPr="00363718">
        <w:rPr>
          <w:rFonts w:ascii="Garamond" w:hAnsi="Garamond"/>
          <w:bCs/>
          <w:sz w:val="24"/>
          <w:szCs w:val="24"/>
        </w:rPr>
        <w:t xml:space="preserve">, </w:t>
      </w:r>
      <w:r w:rsidRPr="00363718">
        <w:rPr>
          <w:rFonts w:ascii="Garamond" w:hAnsi="Garamond"/>
          <w:bCs/>
          <w:i/>
          <w:iCs/>
          <w:sz w:val="24"/>
          <w:szCs w:val="24"/>
        </w:rPr>
        <w:t>RDI</w:t>
      </w:r>
      <w:r w:rsidRPr="00363718">
        <w:rPr>
          <w:rFonts w:ascii="Garamond" w:hAnsi="Garamond"/>
          <w:bCs/>
          <w:sz w:val="24"/>
          <w:szCs w:val="24"/>
        </w:rPr>
        <w:t xml:space="preserve"> 2020, n° 10,</w:t>
      </w:r>
      <w:r w:rsidRPr="00363718">
        <w:rPr>
          <w:rFonts w:ascii="Garamond" w:hAnsi="Garamond" w:cs="Arial"/>
          <w:bCs/>
          <w:sz w:val="24"/>
          <w:szCs w:val="24"/>
        </w:rPr>
        <w:t> p. 496</w:t>
      </w:r>
    </w:p>
    <w:p w14:paraId="547CD4AE" w14:textId="2F0C71F9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Les principes directeurs concernant le cumul des pouvoirs de police », avec H.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Hoepffner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, </w:t>
      </w:r>
      <w:r w:rsidRPr="00363718">
        <w:rPr>
          <w:rFonts w:ascii="Garamond" w:hAnsi="Garamond" w:cs="Arial"/>
          <w:bCs/>
          <w:i/>
          <w:iCs/>
          <w:sz w:val="24"/>
          <w:szCs w:val="24"/>
        </w:rPr>
        <w:t>AJDA</w:t>
      </w:r>
      <w:r w:rsidRPr="00363718">
        <w:rPr>
          <w:rFonts w:ascii="Garamond" w:hAnsi="Garamond" w:cs="Arial"/>
          <w:bCs/>
          <w:sz w:val="24"/>
          <w:szCs w:val="24"/>
        </w:rPr>
        <w:t>, Dossier « Les concours de police », 2020, n° 22, p. 1211</w:t>
      </w:r>
    </w:p>
    <w:p w14:paraId="53F7EEBA" w14:textId="5A2479CB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bookmarkStart w:id="6" w:name="_Hlk53560795"/>
      <w:bookmarkEnd w:id="5"/>
      <w:r w:rsidRPr="00363718">
        <w:rPr>
          <w:rFonts w:ascii="Garamond" w:hAnsi="Garamond" w:cs="Arial"/>
          <w:bCs/>
          <w:sz w:val="24"/>
          <w:szCs w:val="24"/>
        </w:rPr>
        <w:t xml:space="preserve">« L’exercice de la maîtrise d’ouvrage par les personnes publiques », </w:t>
      </w:r>
      <w:r w:rsidRPr="00363718">
        <w:rPr>
          <w:rFonts w:ascii="Garamond" w:hAnsi="Garamond"/>
          <w:bCs/>
          <w:i/>
          <w:iCs/>
          <w:sz w:val="24"/>
          <w:szCs w:val="24"/>
        </w:rPr>
        <w:t>La maîtrise d’ouvrage publique</w:t>
      </w:r>
      <w:r w:rsidRPr="00363718">
        <w:rPr>
          <w:rFonts w:ascii="Garamond" w:hAnsi="Garamond"/>
          <w:bCs/>
          <w:sz w:val="24"/>
          <w:szCs w:val="24"/>
        </w:rPr>
        <w:t xml:space="preserve">, Actes du colloque organisé par l’AFDA, Université d’Orléans, décembre 2019, </w:t>
      </w:r>
      <w:r w:rsidRPr="00363718">
        <w:rPr>
          <w:rFonts w:ascii="Garamond" w:hAnsi="Garamond"/>
          <w:bCs/>
          <w:i/>
          <w:iCs/>
          <w:sz w:val="24"/>
          <w:szCs w:val="24"/>
        </w:rPr>
        <w:t>Contrats et Marchés publics</w:t>
      </w:r>
      <w:r w:rsidRPr="00363718">
        <w:rPr>
          <w:rFonts w:ascii="Garamond" w:hAnsi="Garamond"/>
          <w:bCs/>
          <w:sz w:val="24"/>
          <w:szCs w:val="24"/>
        </w:rPr>
        <w:t>, mai 2020, p. 20</w:t>
      </w:r>
    </w:p>
    <w:bookmarkEnd w:id="6"/>
    <w:p w14:paraId="698E3567" w14:textId="63C61EFF" w:rsidR="00363718" w:rsidRPr="00363718" w:rsidRDefault="00363718" w:rsidP="00363718">
      <w:pPr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/>
          <w:bCs/>
          <w:sz w:val="24"/>
          <w:szCs w:val="24"/>
        </w:rPr>
        <w:t xml:space="preserve">« Le contrôle par le juge administratif », </w:t>
      </w:r>
      <w:r w:rsidRPr="00363718">
        <w:rPr>
          <w:rFonts w:ascii="Garamond" w:hAnsi="Garamond"/>
          <w:bCs/>
          <w:i/>
          <w:sz w:val="24"/>
          <w:szCs w:val="24"/>
        </w:rPr>
        <w:t>in</w:t>
      </w:r>
      <w:r w:rsidRPr="00363718">
        <w:rPr>
          <w:rFonts w:ascii="Garamond" w:hAnsi="Garamond"/>
          <w:bCs/>
          <w:sz w:val="24"/>
          <w:szCs w:val="24"/>
        </w:rPr>
        <w:t xml:space="preserve"> O. </w:t>
      </w:r>
      <w:proofErr w:type="spellStart"/>
      <w:r w:rsidRPr="00363718">
        <w:rPr>
          <w:rFonts w:ascii="Garamond" w:hAnsi="Garamond"/>
          <w:bCs/>
          <w:sz w:val="24"/>
          <w:szCs w:val="24"/>
        </w:rPr>
        <w:t>Renaudie</w:t>
      </w:r>
      <w:proofErr w:type="spellEnd"/>
      <w:r w:rsidRPr="00363718">
        <w:rPr>
          <w:rFonts w:ascii="Garamond" w:hAnsi="Garamond"/>
          <w:bCs/>
          <w:sz w:val="24"/>
          <w:szCs w:val="24"/>
        </w:rPr>
        <w:t xml:space="preserve"> (</w:t>
      </w:r>
      <w:proofErr w:type="spellStart"/>
      <w:r w:rsidRPr="00363718">
        <w:rPr>
          <w:rFonts w:ascii="Garamond" w:hAnsi="Garamond"/>
          <w:bCs/>
          <w:sz w:val="24"/>
          <w:szCs w:val="24"/>
        </w:rPr>
        <w:t>dir</w:t>
      </w:r>
      <w:proofErr w:type="spellEnd"/>
      <w:r w:rsidRPr="00363718">
        <w:rPr>
          <w:rFonts w:ascii="Garamond" w:hAnsi="Garamond"/>
          <w:bCs/>
          <w:sz w:val="24"/>
          <w:szCs w:val="24"/>
        </w:rPr>
        <w:t xml:space="preserve">.), </w:t>
      </w:r>
      <w:r w:rsidRPr="00363718">
        <w:rPr>
          <w:rFonts w:ascii="Garamond" w:hAnsi="Garamond"/>
          <w:bCs/>
          <w:i/>
          <w:iCs/>
          <w:sz w:val="24"/>
          <w:szCs w:val="24"/>
        </w:rPr>
        <w:t xml:space="preserve">Les aides économiques locales : de quel </w:t>
      </w:r>
      <w:proofErr w:type="gramStart"/>
      <w:r w:rsidRPr="00363718">
        <w:rPr>
          <w:rFonts w:ascii="Garamond" w:hAnsi="Garamond"/>
          <w:bCs/>
          <w:i/>
          <w:iCs/>
          <w:sz w:val="24"/>
          <w:szCs w:val="24"/>
        </w:rPr>
        <w:t>droit ?</w:t>
      </w:r>
      <w:r w:rsidRPr="00363718">
        <w:rPr>
          <w:rFonts w:ascii="Garamond" w:hAnsi="Garamond"/>
          <w:bCs/>
          <w:sz w:val="24"/>
          <w:szCs w:val="24"/>
        </w:rPr>
        <w:t>,</w:t>
      </w:r>
      <w:proofErr w:type="gramEnd"/>
      <w:r w:rsidRPr="00363718">
        <w:rPr>
          <w:rFonts w:ascii="Garamond" w:hAnsi="Garamond"/>
          <w:bCs/>
          <w:sz w:val="24"/>
          <w:szCs w:val="24"/>
        </w:rPr>
        <w:t xml:space="preserve"> Actes du colloque organisé à l’Université Paris 1 Panthéon Sorbonne, 29 novembre 2019, </w:t>
      </w:r>
      <w:proofErr w:type="spellStart"/>
      <w:r w:rsidRPr="00363718">
        <w:rPr>
          <w:rFonts w:ascii="Garamond" w:hAnsi="Garamond"/>
          <w:bCs/>
          <w:sz w:val="24"/>
          <w:szCs w:val="24"/>
        </w:rPr>
        <w:t>L’Harmattan</w:t>
      </w:r>
      <w:proofErr w:type="spellEnd"/>
      <w:r w:rsidRPr="00363718">
        <w:rPr>
          <w:rFonts w:ascii="Garamond" w:hAnsi="Garamond"/>
          <w:bCs/>
          <w:sz w:val="24"/>
          <w:szCs w:val="24"/>
        </w:rPr>
        <w:t xml:space="preserve">, Coll. Logiques juridiques, 2020, p. 143 </w:t>
      </w:r>
    </w:p>
    <w:p w14:paraId="0FA39679" w14:textId="0E521166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L’anonymisation du juge administratif », </w:t>
      </w:r>
      <w:r w:rsidRPr="00363718">
        <w:rPr>
          <w:rFonts w:ascii="Garamond" w:hAnsi="Garamond" w:cs="Arial"/>
          <w:bCs/>
          <w:i/>
          <w:sz w:val="24"/>
          <w:szCs w:val="24"/>
        </w:rPr>
        <w:t>in</w:t>
      </w:r>
      <w:r w:rsidRPr="00363718">
        <w:rPr>
          <w:rFonts w:ascii="Garamond" w:hAnsi="Garamond" w:cs="Arial"/>
          <w:bCs/>
          <w:sz w:val="24"/>
          <w:szCs w:val="24"/>
        </w:rPr>
        <w:t xml:space="preserve"> P. Bourdon (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dir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.), </w:t>
      </w:r>
      <w:r w:rsidRPr="00363718">
        <w:rPr>
          <w:rFonts w:ascii="Garamond" w:hAnsi="Garamond" w:cs="Arial"/>
          <w:bCs/>
          <w:i/>
          <w:sz w:val="24"/>
          <w:szCs w:val="24"/>
        </w:rPr>
        <w:t>La communication des décisions du juge administratif</w:t>
      </w:r>
      <w:r w:rsidRPr="00363718">
        <w:rPr>
          <w:rFonts w:ascii="Garamond" w:hAnsi="Garamond" w:cs="Arial"/>
          <w:bCs/>
          <w:sz w:val="24"/>
          <w:szCs w:val="24"/>
        </w:rPr>
        <w:t>, Actes du colloque organisé à l’Université du Maine, LexisNexis, 2020, p. 81</w:t>
      </w:r>
    </w:p>
    <w:bookmarkEnd w:id="4"/>
    <w:p w14:paraId="11D06292" w14:textId="229E5653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>Commentaire des arrêts C</w:t>
      </w:r>
      <w:r w:rsidRPr="00363718">
        <w:rPr>
          <w:rFonts w:ascii="Garamond" w:hAnsi="Garamond"/>
          <w:bCs/>
          <w:sz w:val="24"/>
          <w:szCs w:val="24"/>
        </w:rPr>
        <w:t xml:space="preserve">E ord. 23 janvier 2013, </w:t>
      </w:r>
      <w:r w:rsidRPr="00363718">
        <w:rPr>
          <w:rFonts w:ascii="Garamond" w:hAnsi="Garamond"/>
          <w:bCs/>
          <w:i/>
          <w:iCs/>
          <w:sz w:val="24"/>
          <w:szCs w:val="24"/>
        </w:rPr>
        <w:t>Commune de Chirongui</w:t>
      </w:r>
      <w:r w:rsidRPr="00363718">
        <w:rPr>
          <w:rFonts w:ascii="Garamond" w:hAnsi="Garamond"/>
          <w:bCs/>
          <w:sz w:val="24"/>
          <w:szCs w:val="24"/>
        </w:rPr>
        <w:t xml:space="preserve">, n° 365262, TC 17 juin 2013, n° 3911, </w:t>
      </w:r>
      <w:r w:rsidRPr="00363718">
        <w:rPr>
          <w:rFonts w:ascii="Garamond" w:hAnsi="Garamond"/>
          <w:bCs/>
          <w:i/>
          <w:iCs/>
          <w:sz w:val="24"/>
          <w:szCs w:val="24"/>
        </w:rPr>
        <w:t>Bergoend c./ ERDF Annecy Léman</w:t>
      </w:r>
      <w:r w:rsidRPr="00363718">
        <w:rPr>
          <w:rFonts w:ascii="Garamond" w:hAnsi="Garamond"/>
          <w:bCs/>
          <w:sz w:val="24"/>
          <w:szCs w:val="24"/>
        </w:rPr>
        <w:t xml:space="preserve"> ; TC 9 décembre 2013, n° 3931, </w:t>
      </w:r>
      <w:r w:rsidRPr="00363718">
        <w:rPr>
          <w:rFonts w:ascii="Garamond" w:hAnsi="Garamond"/>
          <w:bCs/>
          <w:i/>
          <w:iCs/>
          <w:sz w:val="24"/>
          <w:szCs w:val="24"/>
        </w:rPr>
        <w:t xml:space="preserve">Epoux </w:t>
      </w:r>
      <w:proofErr w:type="spellStart"/>
      <w:r w:rsidRPr="00363718">
        <w:rPr>
          <w:rFonts w:ascii="Garamond" w:hAnsi="Garamond"/>
          <w:bCs/>
          <w:i/>
          <w:iCs/>
          <w:sz w:val="24"/>
          <w:szCs w:val="24"/>
        </w:rPr>
        <w:t>Panizzon</w:t>
      </w:r>
      <w:proofErr w:type="spellEnd"/>
      <w:r w:rsidRPr="00363718">
        <w:rPr>
          <w:rFonts w:ascii="Garamond" w:hAnsi="Garamond"/>
          <w:bCs/>
          <w:i/>
          <w:iCs/>
          <w:sz w:val="24"/>
          <w:szCs w:val="24"/>
        </w:rPr>
        <w:t xml:space="preserve"> c./ Commune de Saint-Palais-sur-mer</w:t>
      </w:r>
      <w:r w:rsidRPr="00363718">
        <w:rPr>
          <w:rFonts w:ascii="Garamond" w:hAnsi="Garamond"/>
          <w:bCs/>
          <w:sz w:val="24"/>
          <w:szCs w:val="24"/>
        </w:rPr>
        <w:t xml:space="preserve">, </w:t>
      </w:r>
      <w:r w:rsidRPr="00363718">
        <w:rPr>
          <w:rFonts w:ascii="Garamond" w:hAnsi="Garamond"/>
          <w:bCs/>
          <w:i/>
          <w:sz w:val="24"/>
          <w:szCs w:val="24"/>
        </w:rPr>
        <w:t>in</w:t>
      </w:r>
      <w:r w:rsidRPr="00363718">
        <w:rPr>
          <w:rFonts w:ascii="Garamond" w:hAnsi="Garamond"/>
          <w:bCs/>
          <w:sz w:val="24"/>
          <w:szCs w:val="24"/>
        </w:rPr>
        <w:t xml:space="preserve"> </w:t>
      </w:r>
      <w:r w:rsidRPr="00363718">
        <w:rPr>
          <w:rFonts w:ascii="Garamond" w:hAnsi="Garamond" w:cs="Arial"/>
          <w:bCs/>
          <w:sz w:val="24"/>
          <w:szCs w:val="24"/>
        </w:rPr>
        <w:t xml:space="preserve">J.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Caillosse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>, J. Chevallier, Th. Perroud (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dir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.) </w:t>
      </w:r>
      <w:r w:rsidRPr="00363718">
        <w:rPr>
          <w:rFonts w:ascii="Garamond" w:hAnsi="Garamond"/>
          <w:bCs/>
          <w:i/>
          <w:sz w:val="24"/>
          <w:szCs w:val="24"/>
        </w:rPr>
        <w:t>Les G</w:t>
      </w:r>
      <w:r w:rsidRPr="00363718">
        <w:rPr>
          <w:rFonts w:ascii="Garamond" w:hAnsi="Garamond" w:cs="Arial"/>
          <w:bCs/>
          <w:i/>
          <w:sz w:val="24"/>
          <w:szCs w:val="24"/>
        </w:rPr>
        <w:t>rands arrêts politiques de la jurisprudence administrative</w:t>
      </w:r>
      <w:r w:rsidRPr="00363718">
        <w:rPr>
          <w:rFonts w:ascii="Garamond" w:hAnsi="Garamond" w:cs="Arial"/>
          <w:bCs/>
          <w:sz w:val="24"/>
          <w:szCs w:val="24"/>
        </w:rPr>
        <w:t>, LGDJ, Les Grandes décisions, 2019, p. 514</w:t>
      </w:r>
    </w:p>
    <w:p w14:paraId="026240E0" w14:textId="5E7FEBED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Confiance et responsabilité de la puissance publique », </w:t>
      </w:r>
      <w:r w:rsidRPr="00363718">
        <w:rPr>
          <w:rFonts w:ascii="Garamond" w:hAnsi="Garamond" w:cs="Arial"/>
          <w:bCs/>
          <w:i/>
          <w:sz w:val="24"/>
          <w:szCs w:val="24"/>
        </w:rPr>
        <w:t>in</w:t>
      </w:r>
      <w:r w:rsidRPr="00363718">
        <w:rPr>
          <w:rFonts w:ascii="Garamond" w:hAnsi="Garamond" w:cs="Arial"/>
          <w:bCs/>
          <w:sz w:val="24"/>
          <w:szCs w:val="24"/>
        </w:rPr>
        <w:t xml:space="preserve"> C.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Teitgen-Colly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 et O.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Renaudie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 (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dir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>.),</w:t>
      </w:r>
      <w:r w:rsidRPr="00363718">
        <w:rPr>
          <w:rFonts w:ascii="Garamond" w:hAnsi="Garamond" w:cs="Arial"/>
          <w:bCs/>
          <w:i/>
          <w:sz w:val="24"/>
          <w:szCs w:val="24"/>
        </w:rPr>
        <w:t xml:space="preserve"> La confiance en droit public</w:t>
      </w:r>
      <w:r w:rsidRPr="00363718">
        <w:rPr>
          <w:rFonts w:ascii="Garamond" w:hAnsi="Garamond" w:cs="Arial"/>
          <w:bCs/>
          <w:sz w:val="24"/>
          <w:szCs w:val="24"/>
        </w:rPr>
        <w:t xml:space="preserve">,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L’Harmattan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>, 2019, p. 135</w:t>
      </w:r>
    </w:p>
    <w:p w14:paraId="0E5F8FF2" w14:textId="28C6874A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Les délégations de compétences entre personnes publiques », </w:t>
      </w:r>
      <w:r w:rsidRPr="00363718">
        <w:rPr>
          <w:rFonts w:ascii="Garamond" w:hAnsi="Garamond" w:cs="Arial"/>
          <w:bCs/>
          <w:i/>
          <w:sz w:val="24"/>
          <w:szCs w:val="24"/>
        </w:rPr>
        <w:t>Dr. Adm</w:t>
      </w:r>
      <w:r w:rsidRPr="00363718">
        <w:rPr>
          <w:rFonts w:ascii="Garamond" w:hAnsi="Garamond" w:cs="Arial"/>
          <w:bCs/>
          <w:sz w:val="24"/>
          <w:szCs w:val="24"/>
        </w:rPr>
        <w:t xml:space="preserve">. </w:t>
      </w:r>
      <w:proofErr w:type="gramStart"/>
      <w:r w:rsidRPr="00363718">
        <w:rPr>
          <w:rFonts w:ascii="Garamond" w:hAnsi="Garamond" w:cs="Arial"/>
          <w:bCs/>
          <w:sz w:val="24"/>
          <w:szCs w:val="24"/>
        </w:rPr>
        <w:t>février</w:t>
      </w:r>
      <w:proofErr w:type="gramEnd"/>
      <w:r w:rsidRPr="00363718">
        <w:rPr>
          <w:rFonts w:ascii="Garamond" w:hAnsi="Garamond" w:cs="Arial"/>
          <w:bCs/>
          <w:sz w:val="24"/>
          <w:szCs w:val="24"/>
        </w:rPr>
        <w:t xml:space="preserve"> 2019, Etude n° 3, p. 14</w:t>
      </w:r>
    </w:p>
    <w:p w14:paraId="0321DDBC" w14:textId="66BF52EC" w:rsidR="00363718" w:rsidRPr="00363718" w:rsidRDefault="00363718" w:rsidP="00363718">
      <w:pPr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La demande en appréciation de régularité d’une décision administrative », avec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J.-Ch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. </w:t>
      </w:r>
      <w:proofErr w:type="spellStart"/>
      <w:r w:rsidRPr="00363718">
        <w:rPr>
          <w:rFonts w:ascii="Garamond" w:hAnsi="Garamond" w:cs="Arial"/>
          <w:bCs/>
          <w:sz w:val="24"/>
          <w:szCs w:val="24"/>
        </w:rPr>
        <w:t>Rotoullié</w:t>
      </w:r>
      <w:proofErr w:type="spellEnd"/>
      <w:r w:rsidRPr="00363718">
        <w:rPr>
          <w:rFonts w:ascii="Garamond" w:hAnsi="Garamond" w:cs="Arial"/>
          <w:bCs/>
          <w:sz w:val="24"/>
          <w:szCs w:val="24"/>
        </w:rPr>
        <w:t xml:space="preserve">, </w:t>
      </w:r>
      <w:r w:rsidRPr="00363718">
        <w:rPr>
          <w:rFonts w:ascii="Garamond" w:hAnsi="Garamond" w:cs="Arial"/>
          <w:bCs/>
          <w:i/>
          <w:sz w:val="24"/>
          <w:szCs w:val="24"/>
        </w:rPr>
        <w:t>RFDA</w:t>
      </w:r>
      <w:r w:rsidRPr="00363718">
        <w:rPr>
          <w:rFonts w:ascii="Garamond" w:hAnsi="Garamond" w:cs="Arial"/>
          <w:bCs/>
          <w:sz w:val="24"/>
          <w:szCs w:val="24"/>
        </w:rPr>
        <w:t xml:space="preserve"> 2018, p. 821</w:t>
      </w:r>
    </w:p>
    <w:p w14:paraId="45441CDC" w14:textId="2683BB3F" w:rsidR="00363718" w:rsidRPr="00363718" w:rsidRDefault="00363718" w:rsidP="00363718">
      <w:pPr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/>
          <w:bCs/>
          <w:sz w:val="24"/>
          <w:szCs w:val="24"/>
        </w:rPr>
        <w:t>« Le droit à l’erreur », </w:t>
      </w:r>
      <w:r w:rsidRPr="00363718">
        <w:rPr>
          <w:rFonts w:ascii="Garamond" w:hAnsi="Garamond"/>
          <w:bCs/>
          <w:i/>
          <w:sz w:val="24"/>
          <w:szCs w:val="24"/>
        </w:rPr>
        <w:t>in</w:t>
      </w:r>
      <w:r w:rsidRPr="00363718">
        <w:rPr>
          <w:rFonts w:ascii="Garamond" w:hAnsi="Garamond"/>
          <w:bCs/>
          <w:sz w:val="24"/>
          <w:szCs w:val="24"/>
        </w:rPr>
        <w:t xml:space="preserve"> </w:t>
      </w:r>
      <w:r w:rsidRPr="00363718">
        <w:rPr>
          <w:rFonts w:ascii="Garamond" w:hAnsi="Garamond"/>
          <w:bCs/>
          <w:i/>
          <w:sz w:val="24"/>
          <w:szCs w:val="24"/>
        </w:rPr>
        <w:t>Les collectivités territoriales et le CRPA</w:t>
      </w:r>
      <w:r w:rsidRPr="00363718">
        <w:rPr>
          <w:rFonts w:ascii="Garamond" w:hAnsi="Garamond"/>
          <w:bCs/>
          <w:sz w:val="24"/>
          <w:szCs w:val="24"/>
        </w:rPr>
        <w:t xml:space="preserve">, Actes du Colloque organisé à l’Université Toulouse 1 Capitole, </w:t>
      </w:r>
      <w:r w:rsidRPr="00363718">
        <w:rPr>
          <w:rFonts w:ascii="Garamond" w:hAnsi="Garamond"/>
          <w:bCs/>
          <w:i/>
          <w:sz w:val="24"/>
          <w:szCs w:val="24"/>
        </w:rPr>
        <w:t>JCP A</w:t>
      </w:r>
      <w:r w:rsidRPr="00363718">
        <w:rPr>
          <w:rFonts w:ascii="Garamond" w:hAnsi="Garamond"/>
          <w:bCs/>
          <w:sz w:val="24"/>
          <w:szCs w:val="24"/>
        </w:rPr>
        <w:t xml:space="preserve"> 2018, étude n° 2284</w:t>
      </w:r>
    </w:p>
    <w:p w14:paraId="6113FA2A" w14:textId="249C0B8D" w:rsidR="00363718" w:rsidRPr="00363718" w:rsidRDefault="00363718" w:rsidP="00363718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Retour sur les transformations contemporaines du contentieux de la validité des contrats administratifs », avec S. Eustache, </w:t>
      </w:r>
      <w:r w:rsidRPr="00363718">
        <w:rPr>
          <w:rFonts w:ascii="Garamond" w:hAnsi="Garamond" w:cs="Arial"/>
          <w:bCs/>
          <w:i/>
          <w:sz w:val="24"/>
          <w:szCs w:val="24"/>
        </w:rPr>
        <w:t>Dr. Adm</w:t>
      </w:r>
      <w:r w:rsidRPr="00363718">
        <w:rPr>
          <w:rFonts w:ascii="Garamond" w:hAnsi="Garamond" w:cs="Arial"/>
          <w:bCs/>
          <w:sz w:val="24"/>
          <w:szCs w:val="24"/>
        </w:rPr>
        <w:t xml:space="preserve">. 2018, p. 13 </w:t>
      </w:r>
    </w:p>
    <w:p w14:paraId="567110B9" w14:textId="54F99E94" w:rsidR="00363718" w:rsidRPr="00363718" w:rsidRDefault="00363718" w:rsidP="0036371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/>
          <w:bCs/>
          <w:sz w:val="24"/>
          <w:szCs w:val="24"/>
        </w:rPr>
        <w:t xml:space="preserve">« L’exception, l’adaptation du droit au fait », </w:t>
      </w:r>
      <w:r w:rsidRPr="00363718">
        <w:rPr>
          <w:rFonts w:ascii="Garamond" w:hAnsi="Garamond"/>
          <w:bCs/>
          <w:i/>
          <w:iCs/>
          <w:sz w:val="24"/>
          <w:szCs w:val="24"/>
        </w:rPr>
        <w:t xml:space="preserve">in </w:t>
      </w:r>
      <w:r w:rsidRPr="00363718">
        <w:rPr>
          <w:rFonts w:ascii="Garamond" w:hAnsi="Garamond"/>
          <w:bCs/>
          <w:sz w:val="24"/>
          <w:szCs w:val="24"/>
        </w:rPr>
        <w:t xml:space="preserve">A. Vidal-Naquet et de M. </w:t>
      </w:r>
      <w:proofErr w:type="spellStart"/>
      <w:r w:rsidRPr="00363718">
        <w:rPr>
          <w:rFonts w:ascii="Garamond" w:hAnsi="Garamond"/>
          <w:bCs/>
          <w:sz w:val="24"/>
          <w:szCs w:val="24"/>
        </w:rPr>
        <w:t>Fatin</w:t>
      </w:r>
      <w:proofErr w:type="spellEnd"/>
      <w:r w:rsidRPr="00363718">
        <w:rPr>
          <w:rFonts w:ascii="Garamond" w:hAnsi="Garamond"/>
          <w:bCs/>
          <w:sz w:val="24"/>
          <w:szCs w:val="24"/>
        </w:rPr>
        <w:t xml:space="preserve">-Rouge </w:t>
      </w:r>
      <w:proofErr w:type="spellStart"/>
      <w:r w:rsidRPr="00363718">
        <w:rPr>
          <w:rFonts w:ascii="Garamond" w:hAnsi="Garamond"/>
          <w:bCs/>
          <w:sz w:val="24"/>
          <w:szCs w:val="24"/>
        </w:rPr>
        <w:t>Stefanini</w:t>
      </w:r>
      <w:proofErr w:type="spellEnd"/>
      <w:r w:rsidRPr="00363718">
        <w:rPr>
          <w:rFonts w:ascii="Garamond" w:hAnsi="Garamond"/>
          <w:bCs/>
          <w:i/>
          <w:sz w:val="24"/>
          <w:szCs w:val="24"/>
        </w:rPr>
        <w:t xml:space="preserve"> </w:t>
      </w:r>
      <w:r w:rsidRPr="00363718">
        <w:rPr>
          <w:rFonts w:ascii="Garamond" w:hAnsi="Garamond"/>
          <w:bCs/>
          <w:iCs/>
          <w:sz w:val="24"/>
          <w:szCs w:val="24"/>
        </w:rPr>
        <w:t>(</w:t>
      </w:r>
      <w:proofErr w:type="spellStart"/>
      <w:r w:rsidRPr="00363718">
        <w:rPr>
          <w:rFonts w:ascii="Garamond" w:hAnsi="Garamond"/>
          <w:bCs/>
          <w:iCs/>
          <w:sz w:val="24"/>
          <w:szCs w:val="24"/>
        </w:rPr>
        <w:t>dir</w:t>
      </w:r>
      <w:proofErr w:type="spellEnd"/>
      <w:r w:rsidRPr="00363718">
        <w:rPr>
          <w:rFonts w:ascii="Garamond" w:hAnsi="Garamond"/>
          <w:bCs/>
          <w:iCs/>
          <w:sz w:val="24"/>
          <w:szCs w:val="24"/>
        </w:rPr>
        <w:t>.),</w:t>
      </w:r>
      <w:r w:rsidRPr="00363718">
        <w:rPr>
          <w:rFonts w:ascii="Garamond" w:hAnsi="Garamond"/>
          <w:bCs/>
          <w:i/>
          <w:sz w:val="24"/>
          <w:szCs w:val="24"/>
        </w:rPr>
        <w:t xml:space="preserve"> La norme et ses exceptions. Quels défis pour la règle de </w:t>
      </w:r>
      <w:proofErr w:type="gramStart"/>
      <w:r w:rsidRPr="00363718">
        <w:rPr>
          <w:rFonts w:ascii="Garamond" w:hAnsi="Garamond"/>
          <w:bCs/>
          <w:i/>
          <w:sz w:val="24"/>
          <w:szCs w:val="24"/>
        </w:rPr>
        <w:t>droit</w:t>
      </w:r>
      <w:r w:rsidRPr="00363718">
        <w:rPr>
          <w:rFonts w:ascii="Garamond" w:hAnsi="Garamond"/>
          <w:bCs/>
          <w:sz w:val="24"/>
          <w:szCs w:val="24"/>
        </w:rPr>
        <w:t> ?,</w:t>
      </w:r>
      <w:proofErr w:type="gramEnd"/>
      <w:r w:rsidRPr="00363718">
        <w:rPr>
          <w:rFonts w:ascii="Garamond" w:hAnsi="Garamond"/>
          <w:bCs/>
          <w:sz w:val="24"/>
          <w:szCs w:val="24"/>
        </w:rPr>
        <w:t xml:space="preserve"> Bruylant, 2014, p. 227</w:t>
      </w:r>
    </w:p>
    <w:p w14:paraId="4A9B5F86" w14:textId="793CA54F" w:rsidR="00363718" w:rsidRPr="00363718" w:rsidRDefault="00363718" w:rsidP="0036371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 w:cs="Arial"/>
          <w:bCs/>
          <w:sz w:val="24"/>
          <w:szCs w:val="24"/>
        </w:rPr>
        <w:t xml:space="preserve">« Les adages exclus du droit public », avec O. Deshayes, </w:t>
      </w:r>
      <w:r w:rsidRPr="00363718">
        <w:rPr>
          <w:rFonts w:ascii="Garamond" w:hAnsi="Garamond" w:cs="Arial"/>
          <w:bCs/>
          <w:i/>
          <w:sz w:val="24"/>
          <w:szCs w:val="24"/>
        </w:rPr>
        <w:t>RFDA</w:t>
      </w:r>
      <w:r w:rsidRPr="00363718">
        <w:rPr>
          <w:rFonts w:ascii="Garamond" w:hAnsi="Garamond" w:cs="Arial"/>
          <w:bCs/>
          <w:sz w:val="24"/>
          <w:szCs w:val="24"/>
        </w:rPr>
        <w:t xml:space="preserve"> 2014, p. 207</w:t>
      </w:r>
      <w:r w:rsidRPr="00363718">
        <w:rPr>
          <w:rFonts w:ascii="Garamond" w:hAnsi="Garamond"/>
          <w:bCs/>
          <w:sz w:val="24"/>
          <w:szCs w:val="24"/>
        </w:rPr>
        <w:t xml:space="preserve"> </w:t>
      </w:r>
    </w:p>
    <w:bookmarkEnd w:id="2"/>
    <w:p w14:paraId="45AC7B1C" w14:textId="10A20CBD" w:rsidR="00363718" w:rsidRPr="00363718" w:rsidRDefault="00363718" w:rsidP="0036371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/>
          <w:bCs/>
          <w:sz w:val="24"/>
          <w:szCs w:val="24"/>
        </w:rPr>
        <w:t xml:space="preserve">« Le juge administratif, le contrat et la propriété des biens de retour », avec J.-F. Lafaix, </w:t>
      </w:r>
      <w:r w:rsidRPr="00363718">
        <w:rPr>
          <w:rFonts w:ascii="Garamond" w:hAnsi="Garamond"/>
          <w:bCs/>
          <w:i/>
          <w:sz w:val="24"/>
          <w:szCs w:val="24"/>
        </w:rPr>
        <w:t xml:space="preserve">RFDA </w:t>
      </w:r>
      <w:r w:rsidRPr="00363718">
        <w:rPr>
          <w:rFonts w:ascii="Garamond" w:hAnsi="Garamond"/>
          <w:bCs/>
          <w:sz w:val="24"/>
          <w:szCs w:val="24"/>
        </w:rPr>
        <w:t>2013, p. 513</w:t>
      </w:r>
    </w:p>
    <w:p w14:paraId="04FBBC70" w14:textId="4913C773" w:rsidR="00363718" w:rsidRPr="00363718" w:rsidRDefault="00363718" w:rsidP="0036371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/>
          <w:bCs/>
          <w:sz w:val="24"/>
          <w:szCs w:val="24"/>
        </w:rPr>
        <w:t xml:space="preserve">« L’ordre public et les contrats administratifs », </w:t>
      </w:r>
      <w:r w:rsidRPr="00363718">
        <w:rPr>
          <w:rFonts w:ascii="Garamond" w:hAnsi="Garamond"/>
          <w:bCs/>
          <w:i/>
          <w:iCs/>
          <w:sz w:val="24"/>
          <w:szCs w:val="24"/>
        </w:rPr>
        <w:t>in</w:t>
      </w:r>
      <w:r w:rsidRPr="0036371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63718">
        <w:rPr>
          <w:rFonts w:ascii="Garamond" w:hAnsi="Garamond"/>
          <w:bCs/>
          <w:sz w:val="24"/>
          <w:szCs w:val="24"/>
        </w:rPr>
        <w:t>Ch.-A</w:t>
      </w:r>
      <w:proofErr w:type="spellEnd"/>
      <w:r w:rsidRPr="00363718">
        <w:rPr>
          <w:rFonts w:ascii="Garamond" w:hAnsi="Garamond"/>
          <w:bCs/>
          <w:sz w:val="24"/>
          <w:szCs w:val="24"/>
        </w:rPr>
        <w:t>. Dubreuil (</w:t>
      </w:r>
      <w:proofErr w:type="spellStart"/>
      <w:r w:rsidRPr="00363718">
        <w:rPr>
          <w:rFonts w:ascii="Garamond" w:hAnsi="Garamond"/>
          <w:bCs/>
          <w:sz w:val="24"/>
          <w:szCs w:val="24"/>
        </w:rPr>
        <w:t>dir</w:t>
      </w:r>
      <w:proofErr w:type="spellEnd"/>
      <w:r w:rsidRPr="00363718">
        <w:rPr>
          <w:rFonts w:ascii="Garamond" w:hAnsi="Garamond"/>
          <w:bCs/>
          <w:sz w:val="24"/>
          <w:szCs w:val="24"/>
        </w:rPr>
        <w:t>.),</w:t>
      </w:r>
      <w:r w:rsidRPr="00363718">
        <w:rPr>
          <w:rFonts w:ascii="Garamond" w:hAnsi="Garamond"/>
          <w:bCs/>
          <w:i/>
          <w:sz w:val="24"/>
          <w:szCs w:val="24"/>
        </w:rPr>
        <w:t xml:space="preserve"> L’ordre public</w:t>
      </w:r>
      <w:r w:rsidRPr="00363718">
        <w:rPr>
          <w:rFonts w:ascii="Garamond" w:hAnsi="Garamond"/>
          <w:bCs/>
          <w:sz w:val="24"/>
          <w:szCs w:val="24"/>
        </w:rPr>
        <w:t>, Editions Cujas, 2013, p. 61</w:t>
      </w:r>
    </w:p>
    <w:p w14:paraId="4878D14E" w14:textId="7CC7A05A" w:rsidR="00363718" w:rsidRPr="00363718" w:rsidRDefault="00363718" w:rsidP="0036371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63718">
        <w:rPr>
          <w:rFonts w:ascii="Garamond" w:hAnsi="Garamond"/>
          <w:bCs/>
          <w:sz w:val="24"/>
          <w:szCs w:val="24"/>
        </w:rPr>
        <w:t xml:space="preserve">« Le principe d’égalité devant le service public », </w:t>
      </w:r>
      <w:r w:rsidRPr="00363718">
        <w:rPr>
          <w:rFonts w:ascii="Garamond" w:hAnsi="Garamond"/>
          <w:bCs/>
          <w:i/>
          <w:sz w:val="24"/>
          <w:szCs w:val="24"/>
        </w:rPr>
        <w:t>RFDA</w:t>
      </w:r>
      <w:r w:rsidRPr="00363718">
        <w:rPr>
          <w:rFonts w:ascii="Garamond" w:hAnsi="Garamond"/>
          <w:bCs/>
          <w:sz w:val="24"/>
          <w:szCs w:val="24"/>
        </w:rPr>
        <w:t xml:space="preserve"> 2013, p. 722</w:t>
      </w:r>
    </w:p>
    <w:p w14:paraId="7AC7A944" w14:textId="77777777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  <w:u w:val="single"/>
        </w:rPr>
      </w:pPr>
      <w:bookmarkStart w:id="7" w:name="_Hlk70062253"/>
      <w:r w:rsidRPr="004B1146">
        <w:rPr>
          <w:rFonts w:ascii="Garamond" w:hAnsi="Garamond"/>
          <w:bCs/>
          <w:sz w:val="24"/>
          <w:szCs w:val="24"/>
          <w:u w:val="single"/>
        </w:rPr>
        <w:t>Droit des collectivités territoriales</w:t>
      </w:r>
    </w:p>
    <w:p w14:paraId="0DF60FF4" w14:textId="7F2BA70A" w:rsidR="004B1146" w:rsidRPr="004B1146" w:rsidRDefault="004B1146" w:rsidP="004B1146">
      <w:pPr>
        <w:jc w:val="both"/>
        <w:rPr>
          <w:rFonts w:ascii="Garamond" w:hAnsi="Garamond"/>
          <w:bCs/>
          <w:i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lastRenderedPageBreak/>
        <w:t xml:space="preserve">« La crise sanitaire et les aides économiques locales » avec </w:t>
      </w:r>
      <w:proofErr w:type="spellStart"/>
      <w:r w:rsidRPr="004B1146">
        <w:rPr>
          <w:rFonts w:ascii="Garamond" w:hAnsi="Garamond"/>
          <w:bCs/>
          <w:sz w:val="24"/>
          <w:szCs w:val="24"/>
        </w:rPr>
        <w:t>J.-Ch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Rotoullié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</w:t>
      </w:r>
      <w:r w:rsidRPr="004B1146">
        <w:rPr>
          <w:rFonts w:ascii="Garamond" w:hAnsi="Garamond"/>
          <w:bCs/>
          <w:i/>
          <w:iCs/>
          <w:sz w:val="24"/>
          <w:szCs w:val="24"/>
        </w:rPr>
        <w:t>DGCT, GRALE</w:t>
      </w:r>
      <w:r w:rsidRPr="004B1146"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 xml:space="preserve">2021, </w:t>
      </w:r>
      <w:r w:rsidRPr="004B1146">
        <w:rPr>
          <w:rFonts w:ascii="Garamond" w:hAnsi="Garamond"/>
          <w:bCs/>
          <w:i/>
          <w:iCs/>
          <w:sz w:val="24"/>
          <w:szCs w:val="24"/>
        </w:rPr>
        <w:t>Le local face à la crise</w:t>
      </w:r>
    </w:p>
    <w:p w14:paraId="33CEABBA" w14:textId="4038A3CE" w:rsidR="004B1146" w:rsidRPr="004B1146" w:rsidRDefault="004B1146" w:rsidP="004B1146">
      <w:pPr>
        <w:jc w:val="both"/>
        <w:rPr>
          <w:rFonts w:ascii="Garamond" w:hAnsi="Garamond" w:cs="Arial"/>
          <w:bCs/>
          <w:i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L’Elysée et les collectivités territoriales », </w:t>
      </w:r>
      <w:r w:rsidRPr="004B1146">
        <w:rPr>
          <w:rFonts w:ascii="Garamond" w:hAnsi="Garamond" w:cs="Arial"/>
          <w:bCs/>
          <w:i/>
          <w:sz w:val="24"/>
          <w:szCs w:val="24"/>
        </w:rPr>
        <w:t>in</w:t>
      </w:r>
      <w:r w:rsidRPr="004B1146">
        <w:rPr>
          <w:rFonts w:ascii="Garamond" w:hAnsi="Garamond" w:cs="Arial"/>
          <w:bCs/>
          <w:sz w:val="24"/>
          <w:szCs w:val="24"/>
        </w:rPr>
        <w:t xml:space="preserve"> </w:t>
      </w:r>
      <w:r w:rsidRPr="004B1146">
        <w:rPr>
          <w:rFonts w:ascii="Garamond" w:hAnsi="Garamond" w:cs="Arial"/>
          <w:bCs/>
          <w:iCs/>
          <w:sz w:val="24"/>
          <w:szCs w:val="24"/>
        </w:rPr>
        <w:t xml:space="preserve">J.-F. </w:t>
      </w:r>
      <w:proofErr w:type="spellStart"/>
      <w:r w:rsidRPr="004B1146">
        <w:rPr>
          <w:rFonts w:ascii="Garamond" w:hAnsi="Garamond" w:cs="Arial"/>
          <w:bCs/>
          <w:iCs/>
          <w:sz w:val="24"/>
          <w:szCs w:val="24"/>
        </w:rPr>
        <w:t>Kerléo</w:t>
      </w:r>
      <w:proofErr w:type="spellEnd"/>
      <w:r w:rsidRPr="004B1146">
        <w:rPr>
          <w:rFonts w:ascii="Garamond" w:hAnsi="Garamond" w:cs="Arial"/>
          <w:bCs/>
          <w:iCs/>
          <w:sz w:val="24"/>
          <w:szCs w:val="24"/>
        </w:rPr>
        <w:t xml:space="preserve"> (</w:t>
      </w:r>
      <w:proofErr w:type="spellStart"/>
      <w:r w:rsidRPr="004B1146">
        <w:rPr>
          <w:rFonts w:ascii="Garamond" w:hAnsi="Garamond" w:cs="Arial"/>
          <w:bCs/>
          <w:iCs/>
          <w:sz w:val="24"/>
          <w:szCs w:val="24"/>
        </w:rPr>
        <w:t>dir</w:t>
      </w:r>
      <w:proofErr w:type="spellEnd"/>
      <w:r w:rsidRPr="004B1146">
        <w:rPr>
          <w:rFonts w:ascii="Garamond" w:hAnsi="Garamond" w:cs="Arial"/>
          <w:bCs/>
          <w:iCs/>
          <w:sz w:val="24"/>
          <w:szCs w:val="24"/>
        </w:rPr>
        <w:t xml:space="preserve">.), </w:t>
      </w:r>
      <w:r w:rsidRPr="004B1146">
        <w:rPr>
          <w:rFonts w:ascii="Garamond" w:hAnsi="Garamond" w:cs="Arial"/>
          <w:bCs/>
          <w:i/>
          <w:iCs/>
          <w:sz w:val="24"/>
          <w:szCs w:val="24"/>
        </w:rPr>
        <w:t>L’Elysée</w:t>
      </w:r>
      <w:r w:rsidRPr="004B1146">
        <w:rPr>
          <w:rFonts w:ascii="Garamond" w:hAnsi="Garamond" w:cs="Arial"/>
          <w:bCs/>
          <w:sz w:val="24"/>
          <w:szCs w:val="24"/>
        </w:rPr>
        <w:t xml:space="preserve">, LGDJ, coll. Varenne, </w:t>
      </w:r>
      <w:r w:rsidRPr="004B1146">
        <w:rPr>
          <w:rFonts w:ascii="Garamond" w:hAnsi="Garamond" w:cs="Arial"/>
          <w:bCs/>
          <w:iCs/>
          <w:sz w:val="24"/>
          <w:szCs w:val="24"/>
        </w:rPr>
        <w:t>à paraître</w:t>
      </w:r>
    </w:p>
    <w:p w14:paraId="1A9EDF3B" w14:textId="527DA221" w:rsidR="004B1146" w:rsidRPr="004B1146" w:rsidRDefault="004B1146" w:rsidP="004B1146">
      <w:pPr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La loi organique relative à l’expérimentation », avec M. </w:t>
      </w:r>
      <w:proofErr w:type="spellStart"/>
      <w:r w:rsidRPr="004B1146">
        <w:rPr>
          <w:rFonts w:ascii="Garamond" w:hAnsi="Garamond" w:cs="Arial"/>
          <w:bCs/>
          <w:sz w:val="24"/>
          <w:szCs w:val="24"/>
        </w:rPr>
        <w:t>Verpeaux</w:t>
      </w:r>
      <w:proofErr w:type="spellEnd"/>
      <w:r w:rsidRPr="004B1146">
        <w:rPr>
          <w:rFonts w:ascii="Garamond" w:hAnsi="Garamond" w:cs="Arial"/>
          <w:bCs/>
          <w:sz w:val="24"/>
          <w:szCs w:val="24"/>
        </w:rPr>
        <w:t xml:space="preserve">, </w:t>
      </w:r>
      <w:r w:rsidRPr="004B1146">
        <w:rPr>
          <w:rFonts w:ascii="Garamond" w:hAnsi="Garamond" w:cs="Arial"/>
          <w:bCs/>
          <w:i/>
          <w:iCs/>
          <w:sz w:val="24"/>
          <w:szCs w:val="24"/>
        </w:rPr>
        <w:t>AJDA</w:t>
      </w:r>
      <w:r w:rsidRPr="004B1146">
        <w:rPr>
          <w:rFonts w:ascii="Garamond" w:hAnsi="Garamond" w:cs="Arial"/>
          <w:bCs/>
          <w:sz w:val="24"/>
          <w:szCs w:val="24"/>
        </w:rPr>
        <w:t xml:space="preserve">, </w:t>
      </w:r>
      <w:r w:rsidRPr="004B1146">
        <w:rPr>
          <w:rFonts w:ascii="Garamond" w:hAnsi="Garamond" w:cs="Arial"/>
          <w:bCs/>
          <w:iCs/>
          <w:sz w:val="24"/>
          <w:szCs w:val="24"/>
        </w:rPr>
        <w:t>2021, p. 1375</w:t>
      </w:r>
    </w:p>
    <w:p w14:paraId="5BE69A0C" w14:textId="79315A1B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Les collectivités territoriales dans le contentieux administratif : quelles spécificités ? »,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</w:t>
      </w:r>
      <w:r w:rsidRPr="004B1146">
        <w:rPr>
          <w:rFonts w:ascii="Garamond" w:hAnsi="Garamond"/>
          <w:bCs/>
          <w:i/>
          <w:iCs/>
          <w:sz w:val="24"/>
          <w:szCs w:val="24"/>
        </w:rPr>
        <w:t>Peut-on encore définir la collectivité territoriale</w:t>
      </w:r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iCs/>
          <w:sz w:val="24"/>
          <w:szCs w:val="24"/>
        </w:rPr>
        <w:t>Journées d’études de l’AFDCL</w:t>
      </w:r>
      <w:r w:rsidRPr="004B1146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4B1146">
        <w:rPr>
          <w:rFonts w:ascii="Garamond" w:hAnsi="Garamond"/>
          <w:bCs/>
          <w:sz w:val="24"/>
          <w:szCs w:val="24"/>
        </w:rPr>
        <w:t>L’Harmattan</w:t>
      </w:r>
      <w:proofErr w:type="spellEnd"/>
      <w:r w:rsidRPr="004B1146">
        <w:rPr>
          <w:rFonts w:ascii="Garamond" w:hAnsi="Garamond"/>
          <w:bCs/>
          <w:sz w:val="24"/>
          <w:szCs w:val="24"/>
        </w:rPr>
        <w:t>, 2021, à paraître</w:t>
      </w:r>
    </w:p>
    <w:p w14:paraId="38B0A05E" w14:textId="338BFE2F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Les biens des collectivités territoriales et la protection de l’environnement », avec J.-C.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Rotoullié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</w:t>
      </w:r>
      <w:r w:rsidRPr="004B1146">
        <w:rPr>
          <w:rFonts w:ascii="Garamond" w:hAnsi="Garamond"/>
          <w:bCs/>
          <w:i/>
          <w:iCs/>
          <w:sz w:val="24"/>
          <w:szCs w:val="24"/>
        </w:rPr>
        <w:t>Les collectivités territoriales et la protection de l’environnement</w:t>
      </w:r>
      <w:r w:rsidRPr="004B1146">
        <w:rPr>
          <w:rFonts w:ascii="Garamond" w:hAnsi="Garamond"/>
          <w:bCs/>
          <w:sz w:val="24"/>
          <w:szCs w:val="24"/>
        </w:rPr>
        <w:t>, sous la direction de L. Janicot, Berger-Levrault, janvier 2021</w:t>
      </w:r>
    </w:p>
    <w:p w14:paraId="6B05001A" w14:textId="37034F19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bookmarkStart w:id="8" w:name="_Hlk64621299"/>
      <w:r w:rsidRPr="004B1146">
        <w:rPr>
          <w:rFonts w:ascii="Garamond" w:hAnsi="Garamond"/>
          <w:bCs/>
          <w:sz w:val="24"/>
          <w:szCs w:val="24"/>
        </w:rPr>
        <w:t xml:space="preserve">« La demande de prise de position formelle des collectivités territoriales auprès du préfet », in </w:t>
      </w:r>
      <w:r w:rsidRPr="004B1146">
        <w:rPr>
          <w:rFonts w:ascii="Garamond" w:hAnsi="Garamond"/>
          <w:bCs/>
          <w:i/>
          <w:iCs/>
          <w:sz w:val="24"/>
          <w:szCs w:val="24"/>
        </w:rPr>
        <w:t>Dossier consacré aux réformes des collectivités territoriales</w:t>
      </w:r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iCs/>
          <w:sz w:val="24"/>
          <w:szCs w:val="24"/>
        </w:rPr>
        <w:t>RFDA</w:t>
      </w:r>
      <w:r w:rsidRPr="004B1146">
        <w:rPr>
          <w:rFonts w:ascii="Garamond" w:hAnsi="Garamond"/>
          <w:bCs/>
          <w:sz w:val="24"/>
          <w:szCs w:val="24"/>
        </w:rPr>
        <w:t xml:space="preserve"> 2020 n° 2, p. 254</w:t>
      </w:r>
    </w:p>
    <w:p w14:paraId="39E1CA00" w14:textId="7BFB1FA9" w:rsidR="004B1146" w:rsidRPr="004B1146" w:rsidRDefault="004B1146" w:rsidP="004B1146">
      <w:pPr>
        <w:spacing w:line="240" w:lineRule="auto"/>
        <w:jc w:val="both"/>
        <w:rPr>
          <w:rFonts w:ascii="Garamond" w:hAnsi="Garamond" w:cs="Calibri"/>
          <w:bCs/>
          <w:color w:val="000000"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>« </w:t>
      </w:r>
      <w:r w:rsidRPr="004B1146">
        <w:rPr>
          <w:rFonts w:ascii="Garamond" w:hAnsi="Garamond" w:cs="Calibri"/>
          <w:bCs/>
          <w:color w:val="000000"/>
          <w:sz w:val="24"/>
          <w:szCs w:val="24"/>
        </w:rPr>
        <w:t xml:space="preserve">Les collectivités de droit commun : les communes, les départements et les régions. La fin de ces catégories juridiques ? », </w:t>
      </w:r>
      <w:r w:rsidRPr="004B1146">
        <w:rPr>
          <w:rFonts w:ascii="Garamond" w:hAnsi="Garamond" w:cs="Calibri"/>
          <w:bCs/>
          <w:i/>
          <w:color w:val="000000"/>
          <w:sz w:val="24"/>
          <w:szCs w:val="24"/>
        </w:rPr>
        <w:t>in</w:t>
      </w:r>
      <w:r w:rsidRPr="004B1146">
        <w:rPr>
          <w:rFonts w:ascii="Garamond" w:hAnsi="Garamond" w:cs="Calibri"/>
          <w:bCs/>
          <w:color w:val="000000"/>
          <w:sz w:val="24"/>
          <w:szCs w:val="24"/>
        </w:rPr>
        <w:t xml:space="preserve"> </w:t>
      </w:r>
      <w:r w:rsidRPr="004B1146">
        <w:rPr>
          <w:rFonts w:ascii="Garamond" w:hAnsi="Garamond" w:cs="Calibri"/>
          <w:bCs/>
          <w:i/>
          <w:iCs/>
          <w:color w:val="000000"/>
          <w:sz w:val="24"/>
          <w:szCs w:val="24"/>
        </w:rPr>
        <w:t xml:space="preserve">Constitution, Révolution, Décentralisation, Mélanges en l’honneur de Michel </w:t>
      </w:r>
      <w:proofErr w:type="spellStart"/>
      <w:r w:rsidRPr="004B1146">
        <w:rPr>
          <w:rFonts w:ascii="Garamond" w:hAnsi="Garamond" w:cs="Calibri"/>
          <w:bCs/>
          <w:i/>
          <w:iCs/>
          <w:color w:val="000000"/>
          <w:sz w:val="24"/>
          <w:szCs w:val="24"/>
        </w:rPr>
        <w:t>Verpeaux</w:t>
      </w:r>
      <w:proofErr w:type="spellEnd"/>
      <w:r w:rsidRPr="004B1146">
        <w:rPr>
          <w:rFonts w:ascii="Garamond" w:hAnsi="Garamond" w:cs="Calibri"/>
          <w:bCs/>
          <w:color w:val="000000"/>
          <w:sz w:val="24"/>
          <w:szCs w:val="24"/>
        </w:rPr>
        <w:t>, Dalloz, octobre 2020, p. 613</w:t>
      </w:r>
    </w:p>
    <w:bookmarkEnd w:id="8"/>
    <w:p w14:paraId="260F32D9" w14:textId="1B9F0662" w:rsidR="004B1146" w:rsidRPr="004B1146" w:rsidRDefault="004B1146" w:rsidP="004B1146">
      <w:pPr>
        <w:spacing w:after="0" w:line="280" w:lineRule="exact"/>
        <w:ind w:right="-20"/>
        <w:jc w:val="both"/>
        <w:rPr>
          <w:rFonts w:ascii="Garamond" w:hAnsi="Garamond"/>
          <w:bCs/>
          <w:i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L’action extérieure des collectivités territoriales »,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M. Chambon et P.-M. Raynal (</w:t>
      </w:r>
      <w:proofErr w:type="spellStart"/>
      <w:r w:rsidRPr="004B1146">
        <w:rPr>
          <w:rFonts w:ascii="Garamond" w:hAnsi="Garamond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/>
          <w:bCs/>
          <w:sz w:val="24"/>
          <w:szCs w:val="24"/>
        </w:rPr>
        <w:t>.),</w:t>
      </w:r>
      <w:r w:rsidRPr="004B1146">
        <w:rPr>
          <w:rFonts w:ascii="Garamond" w:hAnsi="Garamond"/>
          <w:bCs/>
          <w:i/>
          <w:iCs/>
          <w:sz w:val="24"/>
          <w:szCs w:val="24"/>
        </w:rPr>
        <w:t xml:space="preserve"> L’identité de l’Etat dans la globalisation</w:t>
      </w:r>
      <w:r w:rsidRPr="004B1146">
        <w:rPr>
          <w:rFonts w:ascii="Garamond" w:hAnsi="Garamond"/>
          <w:bCs/>
          <w:sz w:val="24"/>
          <w:szCs w:val="24"/>
        </w:rPr>
        <w:t xml:space="preserve">, Actes du colloque organisé à l’Université de Cergy-Pontoise, 6 et 7 février 2020, Lextenso, collection LEJEP, </w:t>
      </w:r>
      <w:r w:rsidRPr="004B1146">
        <w:rPr>
          <w:rFonts w:ascii="Garamond" w:hAnsi="Garamond"/>
          <w:bCs/>
          <w:iCs/>
          <w:sz w:val="24"/>
          <w:szCs w:val="24"/>
        </w:rPr>
        <w:t xml:space="preserve">à paraître </w:t>
      </w:r>
    </w:p>
    <w:p w14:paraId="301E884C" w14:textId="77777777" w:rsidR="004B1146" w:rsidRPr="004B1146" w:rsidRDefault="004B1146" w:rsidP="004B1146">
      <w:pPr>
        <w:spacing w:after="0" w:line="280" w:lineRule="exact"/>
        <w:ind w:right="-20"/>
        <w:jc w:val="both"/>
        <w:rPr>
          <w:rFonts w:ascii="Garamond" w:hAnsi="Garamond"/>
          <w:bCs/>
          <w:sz w:val="24"/>
          <w:szCs w:val="24"/>
        </w:rPr>
      </w:pPr>
    </w:p>
    <w:p w14:paraId="1E5FA0CE" w14:textId="45226492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Elus locaux et contrats administratifs »,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V.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Bouhier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 (</w:t>
      </w:r>
      <w:proofErr w:type="spellStart"/>
      <w:r w:rsidRPr="004B1146">
        <w:rPr>
          <w:rFonts w:ascii="Garamond" w:hAnsi="Garamond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.), </w:t>
      </w:r>
      <w:r w:rsidRPr="004B1146">
        <w:rPr>
          <w:rFonts w:ascii="Garamond" w:hAnsi="Garamond"/>
          <w:bCs/>
          <w:i/>
          <w:sz w:val="24"/>
          <w:szCs w:val="24"/>
        </w:rPr>
        <w:t>L’intervention des tiers dans les contrats</w:t>
      </w:r>
      <w:r w:rsidRPr="004B1146">
        <w:rPr>
          <w:rFonts w:ascii="Garamond" w:hAnsi="Garamond"/>
          <w:bCs/>
          <w:sz w:val="24"/>
          <w:szCs w:val="24"/>
        </w:rPr>
        <w:t xml:space="preserve"> </w:t>
      </w:r>
      <w:r w:rsidRPr="004B1146">
        <w:rPr>
          <w:rFonts w:ascii="Garamond" w:hAnsi="Garamond"/>
          <w:bCs/>
          <w:i/>
          <w:sz w:val="24"/>
          <w:szCs w:val="24"/>
        </w:rPr>
        <w:t>administratifs</w:t>
      </w:r>
      <w:r w:rsidRPr="004B1146">
        <w:rPr>
          <w:rFonts w:ascii="Garamond" w:hAnsi="Garamond"/>
          <w:bCs/>
          <w:sz w:val="24"/>
          <w:szCs w:val="24"/>
        </w:rPr>
        <w:t>, Actes du colloque organisé à l’Université d’Evry, 18 avril 2019, Lextenso/LGDJ, Colloques &amp;Essais, octobre 2020, p. 63</w:t>
      </w:r>
    </w:p>
    <w:bookmarkEnd w:id="7"/>
    <w:p w14:paraId="55A8C677" w14:textId="5E238269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La collectivité européenne d’Alsace ou les fruits d’un non-choix », avec M.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Verpeaux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iCs/>
          <w:sz w:val="24"/>
          <w:szCs w:val="24"/>
        </w:rPr>
        <w:t xml:space="preserve">AJDA </w:t>
      </w:r>
      <w:r w:rsidRPr="004B1146">
        <w:rPr>
          <w:rFonts w:ascii="Garamond" w:hAnsi="Garamond"/>
          <w:bCs/>
          <w:sz w:val="24"/>
          <w:szCs w:val="24"/>
        </w:rPr>
        <w:t>2019, p. 2236</w:t>
      </w:r>
    </w:p>
    <w:p w14:paraId="46D2B5F2" w14:textId="1FA89A12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Les départements : quel(s) avenir(s) ? », </w:t>
      </w:r>
      <w:r w:rsidRPr="004B1146">
        <w:rPr>
          <w:rFonts w:ascii="Garamond" w:hAnsi="Garamond"/>
          <w:bCs/>
          <w:i/>
          <w:iCs/>
          <w:sz w:val="24"/>
          <w:szCs w:val="24"/>
        </w:rPr>
        <w:t>AJDA</w:t>
      </w:r>
      <w:r w:rsidRPr="004B1146">
        <w:rPr>
          <w:rFonts w:ascii="Garamond" w:hAnsi="Garamond"/>
          <w:bCs/>
          <w:sz w:val="24"/>
          <w:szCs w:val="24"/>
        </w:rPr>
        <w:t xml:space="preserve"> 2019, p. 2417</w:t>
      </w:r>
    </w:p>
    <w:p w14:paraId="1C9AE247" w14:textId="51463C9B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QPC et autonomie locale. Le cas de la France », </w:t>
      </w:r>
      <w:r w:rsidRPr="004B1146">
        <w:rPr>
          <w:rFonts w:ascii="Garamond" w:hAnsi="Garamond"/>
          <w:bCs/>
          <w:i/>
          <w:sz w:val="24"/>
          <w:szCs w:val="24"/>
        </w:rPr>
        <w:t>QPC et collectivités territoriales</w:t>
      </w:r>
      <w:r w:rsidRPr="004B1146">
        <w:rPr>
          <w:rFonts w:ascii="Garamond" w:hAnsi="Garamond"/>
          <w:bCs/>
          <w:sz w:val="24"/>
          <w:szCs w:val="24"/>
        </w:rPr>
        <w:t xml:space="preserve">, Actes du colloque organisé par l’Université Panthéon-Assas (Paris II) et l’Université de Lorraine, 31 janvier 2019, </w:t>
      </w:r>
      <w:r w:rsidRPr="004B1146">
        <w:rPr>
          <w:rFonts w:ascii="Garamond" w:hAnsi="Garamond"/>
          <w:bCs/>
          <w:i/>
          <w:iCs/>
          <w:sz w:val="24"/>
          <w:szCs w:val="24"/>
        </w:rPr>
        <w:t xml:space="preserve">Revue générale du droit </w:t>
      </w:r>
      <w:r w:rsidRPr="004B1146">
        <w:rPr>
          <w:rFonts w:ascii="Garamond" w:hAnsi="Garamond"/>
          <w:bCs/>
          <w:sz w:val="24"/>
          <w:szCs w:val="24"/>
        </w:rPr>
        <w:t xml:space="preserve">2019 n° 39801 </w:t>
      </w:r>
    </w:p>
    <w:p w14:paraId="7CE77DB4" w14:textId="3856D087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La différenciation territoriale, un nouveau paradigme du droit de la décentralisation ? »,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O.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Gohin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 (</w:t>
      </w:r>
      <w:proofErr w:type="spellStart"/>
      <w:r w:rsidRPr="004B1146">
        <w:rPr>
          <w:rFonts w:ascii="Garamond" w:hAnsi="Garamond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.), </w:t>
      </w:r>
      <w:r w:rsidRPr="004B1146">
        <w:rPr>
          <w:rFonts w:ascii="Garamond" w:hAnsi="Garamond"/>
          <w:bCs/>
          <w:i/>
          <w:sz w:val="24"/>
          <w:szCs w:val="24"/>
        </w:rPr>
        <w:t>L’acte III de la décentralisation</w:t>
      </w:r>
      <w:r w:rsidRPr="004B1146">
        <w:rPr>
          <w:rFonts w:ascii="Garamond" w:hAnsi="Garamond"/>
          <w:bCs/>
          <w:sz w:val="24"/>
          <w:szCs w:val="24"/>
        </w:rPr>
        <w:t>, Editions Panthéon-Assas, Colloques, 2019, p. 21</w:t>
      </w:r>
    </w:p>
    <w:p w14:paraId="57CE6045" w14:textId="5C1D0E69" w:rsidR="004B1146" w:rsidRPr="004B1146" w:rsidRDefault="004B1146" w:rsidP="004B1146">
      <w:pPr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Le principe de compensation financière des transferts de compétences », </w:t>
      </w:r>
      <w:r w:rsidRPr="004B1146">
        <w:rPr>
          <w:rFonts w:ascii="Garamond" w:hAnsi="Garamond" w:cs="Arial"/>
          <w:bCs/>
          <w:i/>
          <w:sz w:val="24"/>
          <w:szCs w:val="24"/>
        </w:rPr>
        <w:t>in</w:t>
      </w:r>
      <w:r w:rsidRPr="004B1146">
        <w:rPr>
          <w:rFonts w:ascii="Garamond" w:hAnsi="Garamond" w:cs="Arial"/>
          <w:bCs/>
          <w:sz w:val="24"/>
          <w:szCs w:val="24"/>
        </w:rPr>
        <w:t xml:space="preserve"> J.-M. Pontier et O. Guignard</w:t>
      </w:r>
      <w:r w:rsidRPr="004B1146">
        <w:rPr>
          <w:rFonts w:ascii="Garamond" w:hAnsi="Garamond" w:cs="Arial"/>
          <w:bCs/>
          <w:i/>
          <w:sz w:val="24"/>
          <w:szCs w:val="24"/>
        </w:rPr>
        <w:t xml:space="preserve"> </w:t>
      </w:r>
      <w:r w:rsidRPr="004B1146">
        <w:rPr>
          <w:rFonts w:ascii="Garamond" w:hAnsi="Garamond" w:cs="Arial"/>
          <w:bCs/>
          <w:sz w:val="24"/>
          <w:szCs w:val="24"/>
        </w:rPr>
        <w:t>(</w:t>
      </w:r>
      <w:proofErr w:type="spellStart"/>
      <w:r w:rsidRPr="004B1146">
        <w:rPr>
          <w:rFonts w:ascii="Garamond" w:hAnsi="Garamond" w:cs="Arial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 w:cs="Arial"/>
          <w:bCs/>
          <w:sz w:val="24"/>
          <w:szCs w:val="24"/>
        </w:rPr>
        <w:t>.),</w:t>
      </w:r>
      <w:r w:rsidRPr="004B1146">
        <w:rPr>
          <w:rFonts w:ascii="Garamond" w:hAnsi="Garamond" w:cs="Arial"/>
          <w:bCs/>
          <w:i/>
          <w:sz w:val="24"/>
          <w:szCs w:val="24"/>
        </w:rPr>
        <w:t xml:space="preserve"> Constitution et collectivités territoriales</w:t>
      </w:r>
      <w:r w:rsidRPr="004B1146">
        <w:rPr>
          <w:rFonts w:ascii="Garamond" w:hAnsi="Garamond" w:cs="Arial"/>
          <w:bCs/>
          <w:sz w:val="24"/>
          <w:szCs w:val="24"/>
        </w:rPr>
        <w:t>, LexisNexis, 2019, p. 185</w:t>
      </w:r>
    </w:p>
    <w:p w14:paraId="235016E7" w14:textId="1BDDF69B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Solidarité(s) versus spécialisation des collectivités territoriales : quels nouveaux équilibres ? », </w:t>
      </w:r>
      <w:r w:rsidRPr="004B1146">
        <w:rPr>
          <w:rFonts w:ascii="Garamond" w:hAnsi="Garamond"/>
          <w:bCs/>
          <w:i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O.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Renaudie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 et J.-B. Auby (</w:t>
      </w:r>
      <w:proofErr w:type="spellStart"/>
      <w:r w:rsidRPr="004B1146">
        <w:rPr>
          <w:rFonts w:ascii="Garamond" w:hAnsi="Garamond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.), </w:t>
      </w:r>
      <w:r w:rsidRPr="004B1146">
        <w:rPr>
          <w:rFonts w:ascii="Garamond" w:hAnsi="Garamond"/>
          <w:bCs/>
          <w:i/>
          <w:sz w:val="24"/>
          <w:szCs w:val="24"/>
        </w:rPr>
        <w:t>Les nouveaux équilibres de l’action publique territoriale -Retour sur 10 ans de réforme territoriale</w:t>
      </w:r>
      <w:r w:rsidRPr="004B1146">
        <w:rPr>
          <w:rFonts w:ascii="Garamond" w:hAnsi="Garamond"/>
          <w:bCs/>
          <w:sz w:val="24"/>
          <w:szCs w:val="24"/>
        </w:rPr>
        <w:t>, Berger Levrault, 2019, p. 75</w:t>
      </w:r>
    </w:p>
    <w:p w14:paraId="528B5B9B" w14:textId="737F6DF3" w:rsidR="004B1146" w:rsidRPr="004B1146" w:rsidRDefault="004B1146" w:rsidP="004B1146">
      <w:pPr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Conventions de délégation de compétence entre collectivités territoriales. Illustration », avec Jérôme </w:t>
      </w:r>
      <w:proofErr w:type="spellStart"/>
      <w:r w:rsidRPr="004B1146">
        <w:rPr>
          <w:rFonts w:ascii="Garamond" w:hAnsi="Garamond"/>
          <w:bCs/>
          <w:sz w:val="24"/>
          <w:szCs w:val="24"/>
        </w:rPr>
        <w:t>Briend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juriste à l’ADF (Assemblée des départements de France), </w:t>
      </w:r>
      <w:r w:rsidRPr="004B1146">
        <w:rPr>
          <w:rFonts w:ascii="Garamond" w:hAnsi="Garamond"/>
          <w:bCs/>
          <w:i/>
          <w:iCs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</w:t>
      </w:r>
      <w:r w:rsidRPr="004B1146">
        <w:rPr>
          <w:rFonts w:ascii="Garamond" w:hAnsi="Garamond"/>
          <w:bCs/>
          <w:i/>
          <w:iCs/>
          <w:sz w:val="24"/>
          <w:szCs w:val="24"/>
        </w:rPr>
        <w:t>L’exercice des compétences locales entre rationalisation et créativité</w:t>
      </w:r>
      <w:r w:rsidRPr="004B1146">
        <w:rPr>
          <w:rFonts w:ascii="Garamond" w:hAnsi="Garamond"/>
          <w:bCs/>
          <w:sz w:val="24"/>
          <w:szCs w:val="24"/>
        </w:rPr>
        <w:t xml:space="preserve">, sous la direction de M.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Douence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4B1146">
        <w:rPr>
          <w:rFonts w:ascii="Garamond" w:hAnsi="Garamond"/>
          <w:bCs/>
          <w:sz w:val="24"/>
          <w:szCs w:val="24"/>
        </w:rPr>
        <w:t>L’Harmattan</w:t>
      </w:r>
      <w:proofErr w:type="spellEnd"/>
      <w:r w:rsidRPr="004B1146">
        <w:rPr>
          <w:rFonts w:ascii="Garamond" w:hAnsi="Garamond"/>
          <w:bCs/>
          <w:sz w:val="24"/>
          <w:szCs w:val="24"/>
        </w:rPr>
        <w:t>, collection Travaux de l’AFDCL, 2018, p. 185</w:t>
      </w:r>
    </w:p>
    <w:p w14:paraId="47463248" w14:textId="6CA18AB9" w:rsidR="004B1146" w:rsidRPr="004B1146" w:rsidRDefault="004B1146" w:rsidP="004B1146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9" w:name="_Hlk25137034"/>
      <w:r w:rsidRPr="004B1146">
        <w:rPr>
          <w:rFonts w:ascii="Garamond" w:hAnsi="Garamond" w:cs="Arial"/>
          <w:bCs/>
          <w:sz w:val="24"/>
          <w:szCs w:val="24"/>
        </w:rPr>
        <w:t xml:space="preserve">« Les conflits entre collectivités territoriales », Dossier </w:t>
      </w:r>
      <w:r w:rsidRPr="004B1146">
        <w:rPr>
          <w:rFonts w:ascii="Garamond" w:hAnsi="Garamond" w:cs="Arial"/>
          <w:bCs/>
          <w:i/>
          <w:sz w:val="24"/>
          <w:szCs w:val="24"/>
        </w:rPr>
        <w:t>Les litiges entre personnes publiques</w:t>
      </w:r>
      <w:r w:rsidRPr="004B1146">
        <w:rPr>
          <w:rFonts w:ascii="Garamond" w:hAnsi="Garamond" w:cs="Arial"/>
          <w:bCs/>
          <w:sz w:val="24"/>
          <w:szCs w:val="24"/>
        </w:rPr>
        <w:t xml:space="preserve">, </w:t>
      </w:r>
      <w:r w:rsidRPr="004B1146">
        <w:rPr>
          <w:rFonts w:ascii="Garamond" w:hAnsi="Garamond" w:cs="Arial"/>
          <w:bCs/>
          <w:i/>
          <w:sz w:val="24"/>
          <w:szCs w:val="24"/>
        </w:rPr>
        <w:t>Dr. Adm</w:t>
      </w:r>
      <w:r w:rsidRPr="004B1146">
        <w:rPr>
          <w:rFonts w:ascii="Garamond" w:hAnsi="Garamond" w:cs="Arial"/>
          <w:bCs/>
          <w:sz w:val="24"/>
          <w:szCs w:val="24"/>
        </w:rPr>
        <w:t xml:space="preserve">. 2017, p. 23 </w:t>
      </w:r>
    </w:p>
    <w:bookmarkEnd w:id="9"/>
    <w:p w14:paraId="6B03E05A" w14:textId="46D6B1D9" w:rsidR="004B1146" w:rsidRPr="004B1146" w:rsidRDefault="004B1146" w:rsidP="004B1146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lastRenderedPageBreak/>
        <w:t xml:space="preserve">« La ville de Paris, nouvelle collectivité territoriale à statut particulier », </w:t>
      </w:r>
      <w:r w:rsidRPr="004B1146">
        <w:rPr>
          <w:rFonts w:ascii="Garamond" w:hAnsi="Garamond" w:cs="Arial"/>
          <w:bCs/>
          <w:i/>
          <w:sz w:val="24"/>
          <w:szCs w:val="24"/>
        </w:rPr>
        <w:t>AJDA</w:t>
      </w:r>
      <w:r w:rsidRPr="004B1146">
        <w:rPr>
          <w:rFonts w:ascii="Garamond" w:hAnsi="Garamond" w:cs="Arial"/>
          <w:bCs/>
          <w:sz w:val="24"/>
          <w:szCs w:val="24"/>
        </w:rPr>
        <w:t xml:space="preserve"> 2017, p. 1038 </w:t>
      </w:r>
    </w:p>
    <w:p w14:paraId="0EC2C1A1" w14:textId="1D024BE6" w:rsidR="004B1146" w:rsidRPr="004B1146" w:rsidRDefault="004B1146" w:rsidP="004B1146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Le pouvoir normatif des régions », </w:t>
      </w:r>
      <w:bookmarkStart w:id="10" w:name="_Hlk501363567"/>
      <w:r w:rsidRPr="004B1146">
        <w:rPr>
          <w:rFonts w:ascii="Garamond" w:hAnsi="Garamond" w:cs="Arial"/>
          <w:bCs/>
          <w:i/>
          <w:sz w:val="24"/>
          <w:szCs w:val="24"/>
        </w:rPr>
        <w:t>RFDA</w:t>
      </w:r>
      <w:r w:rsidRPr="004B1146">
        <w:rPr>
          <w:rFonts w:ascii="Garamond" w:hAnsi="Garamond" w:cs="Arial"/>
          <w:bCs/>
          <w:sz w:val="24"/>
          <w:szCs w:val="24"/>
        </w:rPr>
        <w:t xml:space="preserve"> 2016, p.664</w:t>
      </w:r>
      <w:bookmarkEnd w:id="10"/>
    </w:p>
    <w:p w14:paraId="608AE460" w14:textId="6213AD08" w:rsidR="004B1146" w:rsidRPr="004B1146" w:rsidRDefault="004B1146" w:rsidP="004B1146">
      <w:pPr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Le territoire des collectivités territoriales dans les réformes des collectivités territoriales. Brèves observations sur les évolutions affectant les liens entre collectivités territoriales et territoire », </w:t>
      </w:r>
      <w:proofErr w:type="spellStart"/>
      <w:r w:rsidRPr="004B1146">
        <w:rPr>
          <w:rFonts w:ascii="Garamond" w:hAnsi="Garamond" w:cs="Arial"/>
          <w:bCs/>
          <w:i/>
          <w:sz w:val="24"/>
          <w:szCs w:val="24"/>
        </w:rPr>
        <w:t>Civitas</w:t>
      </w:r>
      <w:proofErr w:type="spellEnd"/>
      <w:r w:rsidRPr="004B1146">
        <w:rPr>
          <w:rFonts w:ascii="Garamond" w:hAnsi="Garamond" w:cs="Arial"/>
          <w:bCs/>
          <w:i/>
          <w:sz w:val="24"/>
          <w:szCs w:val="24"/>
        </w:rPr>
        <w:t xml:space="preserve"> Europa</w:t>
      </w:r>
      <w:r w:rsidRPr="004B1146">
        <w:rPr>
          <w:rFonts w:ascii="Garamond" w:hAnsi="Garamond" w:cs="Arial"/>
          <w:bCs/>
          <w:sz w:val="24"/>
          <w:szCs w:val="24"/>
        </w:rPr>
        <w:t xml:space="preserve"> 2015, p. 125.</w:t>
      </w:r>
    </w:p>
    <w:p w14:paraId="4B681B21" w14:textId="76E3C682" w:rsidR="004B1146" w:rsidRPr="004B1146" w:rsidRDefault="004B1146" w:rsidP="004B1146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La démocratie locale et la question du modèle », </w:t>
      </w:r>
      <w:proofErr w:type="spellStart"/>
      <w:r w:rsidRPr="004B1146">
        <w:rPr>
          <w:rFonts w:ascii="Garamond" w:hAnsi="Garamond" w:cs="Arial"/>
          <w:bCs/>
          <w:i/>
          <w:sz w:val="24"/>
          <w:szCs w:val="24"/>
        </w:rPr>
        <w:t>Politeia</w:t>
      </w:r>
      <w:proofErr w:type="spellEnd"/>
      <w:r w:rsidRPr="004B1146">
        <w:rPr>
          <w:rFonts w:ascii="Garamond" w:hAnsi="Garamond" w:cs="Arial"/>
          <w:bCs/>
          <w:i/>
          <w:sz w:val="24"/>
          <w:szCs w:val="24"/>
        </w:rPr>
        <w:t xml:space="preserve"> </w:t>
      </w:r>
      <w:r w:rsidRPr="004B1146">
        <w:rPr>
          <w:rFonts w:ascii="Garamond" w:hAnsi="Garamond" w:cs="Arial"/>
          <w:bCs/>
          <w:sz w:val="24"/>
          <w:szCs w:val="24"/>
        </w:rPr>
        <w:t>2014, p. 197</w:t>
      </w:r>
    </w:p>
    <w:p w14:paraId="73E59C2C" w14:textId="559D2F37" w:rsidR="004B1146" w:rsidRPr="004B1146" w:rsidRDefault="004B1146" w:rsidP="004B1146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Les métropoles à statut particulier : Le Grand Paris, Lyon et Aix-Marseille-Provence », </w:t>
      </w:r>
      <w:r w:rsidRPr="004B1146">
        <w:rPr>
          <w:rFonts w:ascii="Garamond" w:hAnsi="Garamond" w:cs="Arial"/>
          <w:bCs/>
          <w:i/>
          <w:sz w:val="24"/>
          <w:szCs w:val="24"/>
        </w:rPr>
        <w:t xml:space="preserve">AJDA </w:t>
      </w:r>
      <w:r w:rsidRPr="004B1146">
        <w:rPr>
          <w:rFonts w:ascii="Garamond" w:hAnsi="Garamond" w:cs="Arial"/>
          <w:bCs/>
          <w:sz w:val="24"/>
          <w:szCs w:val="24"/>
        </w:rPr>
        <w:t>2014, p. 613</w:t>
      </w:r>
    </w:p>
    <w:p w14:paraId="4AA5465C" w14:textId="3B02DAED" w:rsidR="004B1146" w:rsidRPr="004B1146" w:rsidRDefault="004B1146" w:rsidP="004B1146">
      <w:pPr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>« </w:t>
      </w:r>
      <w:r w:rsidRPr="004B1146">
        <w:rPr>
          <w:rFonts w:ascii="Garamond" w:hAnsi="Garamond" w:cs="Arial"/>
          <w:bCs/>
          <w:sz w:val="24"/>
          <w:szCs w:val="24"/>
        </w:rPr>
        <w:t xml:space="preserve">Etude des principes constitutionnels de collectivité chef de file et de non-tutelle à l’aune du projet de loi de modernisation de l’action publique territoriale et d’affirmation des métropoles », </w:t>
      </w:r>
      <w:r w:rsidRPr="004B1146">
        <w:rPr>
          <w:rFonts w:ascii="Garamond" w:hAnsi="Garamond" w:cs="Arial"/>
          <w:bCs/>
          <w:i/>
          <w:iCs/>
          <w:sz w:val="24"/>
          <w:szCs w:val="24"/>
        </w:rPr>
        <w:t>in</w:t>
      </w:r>
      <w:r w:rsidRPr="004B1146">
        <w:rPr>
          <w:rFonts w:ascii="Garamond" w:hAnsi="Garamond" w:cs="Arial"/>
          <w:bCs/>
          <w:sz w:val="24"/>
          <w:szCs w:val="24"/>
        </w:rPr>
        <w:t xml:space="preserve"> B. Mathieu et M. </w:t>
      </w:r>
      <w:proofErr w:type="spellStart"/>
      <w:r w:rsidRPr="004B1146">
        <w:rPr>
          <w:rFonts w:ascii="Garamond" w:hAnsi="Garamond" w:cs="Arial"/>
          <w:bCs/>
          <w:sz w:val="24"/>
          <w:szCs w:val="24"/>
        </w:rPr>
        <w:t>Verpeaux</w:t>
      </w:r>
      <w:proofErr w:type="spellEnd"/>
      <w:r w:rsidRPr="004B1146">
        <w:rPr>
          <w:rFonts w:ascii="Garamond" w:hAnsi="Garamond" w:cs="Arial"/>
          <w:bCs/>
          <w:sz w:val="24"/>
          <w:szCs w:val="24"/>
        </w:rPr>
        <w:t xml:space="preserve"> (</w:t>
      </w:r>
      <w:proofErr w:type="spellStart"/>
      <w:r w:rsidRPr="004B1146">
        <w:rPr>
          <w:rFonts w:ascii="Garamond" w:hAnsi="Garamond" w:cs="Arial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 w:cs="Arial"/>
          <w:bCs/>
          <w:sz w:val="24"/>
          <w:szCs w:val="24"/>
        </w:rPr>
        <w:t xml:space="preserve">.), </w:t>
      </w:r>
      <w:r w:rsidRPr="004B1146">
        <w:rPr>
          <w:rFonts w:ascii="Garamond" w:hAnsi="Garamond" w:cs="Arial"/>
          <w:bCs/>
          <w:i/>
          <w:sz w:val="24"/>
          <w:szCs w:val="24"/>
        </w:rPr>
        <w:t>Les mutations constitutionnelles des collectivités territoriales</w:t>
      </w:r>
      <w:r w:rsidRPr="004B1146">
        <w:rPr>
          <w:rFonts w:ascii="Garamond" w:hAnsi="Garamond" w:cs="Arial"/>
          <w:bCs/>
          <w:sz w:val="24"/>
          <w:szCs w:val="24"/>
        </w:rPr>
        <w:t>, Les cahiers constitutionnels de Paris I, Dalloz, 2014, p. 23</w:t>
      </w:r>
    </w:p>
    <w:p w14:paraId="4189135C" w14:textId="1C92EF14" w:rsidR="004B1146" w:rsidRPr="004B1146" w:rsidRDefault="004B1146" w:rsidP="004B1146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4B1146">
        <w:rPr>
          <w:rFonts w:ascii="Garamond" w:hAnsi="Garamond" w:cs="Arial"/>
          <w:bCs/>
          <w:sz w:val="24"/>
          <w:szCs w:val="24"/>
        </w:rPr>
        <w:t xml:space="preserve">« La fonction de collectivité chef de file », </w:t>
      </w:r>
      <w:r w:rsidRPr="004B1146">
        <w:rPr>
          <w:rFonts w:ascii="Garamond" w:hAnsi="Garamond" w:cs="Arial"/>
          <w:bCs/>
          <w:i/>
          <w:sz w:val="24"/>
          <w:szCs w:val="24"/>
        </w:rPr>
        <w:t xml:space="preserve">RFDA </w:t>
      </w:r>
      <w:r w:rsidRPr="004B1146">
        <w:rPr>
          <w:rFonts w:ascii="Garamond" w:hAnsi="Garamond" w:cs="Arial"/>
          <w:bCs/>
          <w:sz w:val="24"/>
          <w:szCs w:val="24"/>
        </w:rPr>
        <w:t>2014, p. 472</w:t>
      </w:r>
    </w:p>
    <w:p w14:paraId="42B88564" w14:textId="0465E8CC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La gouvernance institutionnelle des territoires – Les métropoles », </w:t>
      </w:r>
      <w:r w:rsidRPr="004B1146">
        <w:rPr>
          <w:rFonts w:ascii="Garamond" w:hAnsi="Garamond"/>
          <w:bCs/>
          <w:i/>
          <w:sz w:val="24"/>
          <w:szCs w:val="24"/>
        </w:rPr>
        <w:t>RLCT</w:t>
      </w:r>
      <w:r w:rsidRPr="004B1146">
        <w:rPr>
          <w:rFonts w:ascii="Garamond" w:hAnsi="Garamond"/>
          <w:bCs/>
          <w:sz w:val="24"/>
          <w:szCs w:val="24"/>
        </w:rPr>
        <w:t xml:space="preserve"> 2013, n° 2516</w:t>
      </w:r>
    </w:p>
    <w:p w14:paraId="3BE2266B" w14:textId="41440175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Les droits des élus locaux », </w:t>
      </w:r>
      <w:r w:rsidRPr="004B1146">
        <w:rPr>
          <w:rFonts w:ascii="Garamond" w:hAnsi="Garamond"/>
          <w:bCs/>
          <w:i/>
          <w:iCs/>
          <w:sz w:val="24"/>
          <w:szCs w:val="24"/>
        </w:rPr>
        <w:t>in</w:t>
      </w:r>
      <w:r w:rsidRPr="004B1146">
        <w:rPr>
          <w:rFonts w:ascii="Garamond" w:hAnsi="Garamond"/>
          <w:bCs/>
          <w:sz w:val="24"/>
          <w:szCs w:val="24"/>
        </w:rPr>
        <w:t xml:space="preserve"> G.-J.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Guglielmi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 (</w:t>
      </w:r>
      <w:proofErr w:type="spellStart"/>
      <w:r w:rsidRPr="004B1146">
        <w:rPr>
          <w:rFonts w:ascii="Garamond" w:hAnsi="Garamond"/>
          <w:bCs/>
          <w:sz w:val="24"/>
          <w:szCs w:val="24"/>
        </w:rPr>
        <w:t>dir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.), </w:t>
      </w:r>
      <w:r w:rsidRPr="004B1146">
        <w:rPr>
          <w:rFonts w:ascii="Garamond" w:hAnsi="Garamond"/>
          <w:bCs/>
          <w:i/>
          <w:sz w:val="24"/>
          <w:szCs w:val="24"/>
        </w:rPr>
        <w:t>La loi relative à la démocratie de proximité, dix ans après</w:t>
      </w:r>
      <w:r w:rsidRPr="004B1146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4B1146">
        <w:rPr>
          <w:rFonts w:ascii="Garamond" w:hAnsi="Garamond"/>
          <w:bCs/>
          <w:sz w:val="24"/>
          <w:szCs w:val="24"/>
        </w:rPr>
        <w:t>L’Harmattan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2013 </w:t>
      </w:r>
    </w:p>
    <w:p w14:paraId="6DE8AF95" w14:textId="451807E6" w:rsidR="004B1146" w:rsidRPr="004B1146" w:rsidRDefault="004B1146" w:rsidP="004B1146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« La tutelle de l’Etat sur les collectivités territoriales 30 ans après la loi du 2 mars 1982 », </w:t>
      </w:r>
      <w:r w:rsidRPr="004B1146">
        <w:rPr>
          <w:rFonts w:ascii="Garamond" w:hAnsi="Garamond"/>
          <w:bCs/>
          <w:i/>
          <w:sz w:val="24"/>
          <w:szCs w:val="24"/>
        </w:rPr>
        <w:t xml:space="preserve">AJDA </w:t>
      </w:r>
      <w:r w:rsidRPr="004B1146">
        <w:rPr>
          <w:rFonts w:ascii="Garamond" w:hAnsi="Garamond"/>
          <w:bCs/>
          <w:sz w:val="24"/>
          <w:szCs w:val="24"/>
        </w:rPr>
        <w:t xml:space="preserve">2012, Dossier spécial </w:t>
      </w:r>
      <w:r w:rsidRPr="004B1146">
        <w:rPr>
          <w:rFonts w:ascii="Garamond" w:hAnsi="Garamond"/>
          <w:bCs/>
          <w:i/>
          <w:iCs/>
          <w:sz w:val="24"/>
          <w:szCs w:val="24"/>
        </w:rPr>
        <w:t>Bilan de la loi du 2 mars 1982</w:t>
      </w:r>
    </w:p>
    <w:p w14:paraId="4C3AE3A9" w14:textId="3CD69740" w:rsidR="00363718" w:rsidRPr="004B1146" w:rsidRDefault="004B1146">
      <w:pPr>
        <w:rPr>
          <w:bCs/>
          <w:u w:val="single"/>
        </w:rPr>
      </w:pPr>
      <w:r w:rsidRPr="004B1146">
        <w:rPr>
          <w:bCs/>
          <w:u w:val="single"/>
        </w:rPr>
        <w:t xml:space="preserve">Notes de jurisprudence </w:t>
      </w:r>
    </w:p>
    <w:p w14:paraId="20BE6DFF" w14:textId="776385EC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bookmarkStart w:id="11" w:name="_Hlk25137147"/>
      <w:r w:rsidRPr="004B1146">
        <w:rPr>
          <w:rFonts w:ascii="Garamond" w:hAnsi="Garamond"/>
          <w:bCs/>
          <w:sz w:val="24"/>
          <w:szCs w:val="24"/>
        </w:rPr>
        <w:t xml:space="preserve">Note sous l’arrêt du Conseil d’Etat, Section, 3 décembre 2018, </w:t>
      </w:r>
      <w:r w:rsidRPr="004B1146">
        <w:rPr>
          <w:rFonts w:ascii="Garamond" w:hAnsi="Garamond" w:cs="Arial"/>
          <w:bCs/>
          <w:i/>
          <w:sz w:val="24"/>
          <w:szCs w:val="24"/>
        </w:rPr>
        <w:t xml:space="preserve">Ligue française pour la défense des droits de l’homme et du citoyen, AJDA </w:t>
      </w:r>
      <w:r w:rsidRPr="004B1146">
        <w:rPr>
          <w:rFonts w:ascii="Garamond" w:hAnsi="Garamond" w:cs="Arial"/>
          <w:bCs/>
          <w:sz w:val="24"/>
          <w:szCs w:val="24"/>
        </w:rPr>
        <w:t>2019, p. 706.</w:t>
      </w:r>
    </w:p>
    <w:bookmarkEnd w:id="11"/>
    <w:p w14:paraId="448E99BE" w14:textId="77777777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2DACDA27" w14:textId="187AFAAB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>Note sous l’arrêt du Conseil d’Etat, 26 février 2016, S</w:t>
      </w:r>
      <w:r w:rsidRPr="004B1146">
        <w:rPr>
          <w:rFonts w:ascii="Garamond" w:hAnsi="Garamond"/>
          <w:bCs/>
          <w:i/>
          <w:sz w:val="24"/>
          <w:szCs w:val="24"/>
        </w:rPr>
        <w:t>yndicat mixte urbain de chauffage de la défense</w:t>
      </w:r>
      <w:r w:rsidRPr="004B1146">
        <w:rPr>
          <w:rFonts w:ascii="Garamond" w:hAnsi="Garamond"/>
          <w:bCs/>
          <w:sz w:val="24"/>
          <w:szCs w:val="24"/>
        </w:rPr>
        <w:t xml:space="preserve">, corédigée avec J.-F. Lafaix, </w:t>
      </w:r>
      <w:r w:rsidRPr="004B1146">
        <w:rPr>
          <w:rFonts w:ascii="Garamond" w:hAnsi="Garamond"/>
          <w:bCs/>
          <w:i/>
          <w:sz w:val="24"/>
          <w:szCs w:val="24"/>
        </w:rPr>
        <w:t>AJDA</w:t>
      </w:r>
      <w:r w:rsidRPr="004B1146">
        <w:rPr>
          <w:rFonts w:ascii="Garamond" w:hAnsi="Garamond"/>
          <w:bCs/>
          <w:sz w:val="24"/>
          <w:szCs w:val="24"/>
        </w:rPr>
        <w:t xml:space="preserve"> 2016, p. 1645</w:t>
      </w:r>
    </w:p>
    <w:p w14:paraId="5B39D29F" w14:textId="77777777" w:rsidR="004B1146" w:rsidRPr="004B1146" w:rsidRDefault="004B1146" w:rsidP="004B114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4521067" w14:textId="31FDCAB2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Note sous l’arrêt du Conseil d’Etat, 12 novembre 2015, </w:t>
      </w:r>
      <w:proofErr w:type="spellStart"/>
      <w:r w:rsidRPr="004B1146">
        <w:rPr>
          <w:rFonts w:ascii="Garamond" w:hAnsi="Garamond"/>
          <w:bCs/>
          <w:i/>
          <w:sz w:val="24"/>
          <w:szCs w:val="24"/>
        </w:rPr>
        <w:t>Cne</w:t>
      </w:r>
      <w:proofErr w:type="spellEnd"/>
      <w:r w:rsidRPr="004B1146">
        <w:rPr>
          <w:rFonts w:ascii="Garamond" w:hAnsi="Garamond"/>
          <w:bCs/>
          <w:i/>
          <w:sz w:val="24"/>
          <w:szCs w:val="24"/>
        </w:rPr>
        <w:t xml:space="preserve"> de Neuville-les-Maisons</w:t>
      </w:r>
      <w:r w:rsidRPr="004B1146">
        <w:rPr>
          <w:rFonts w:ascii="Garamond" w:hAnsi="Garamond"/>
          <w:bCs/>
          <w:sz w:val="24"/>
          <w:szCs w:val="24"/>
        </w:rPr>
        <w:t xml:space="preserve">, corédigée avec G. </w:t>
      </w:r>
      <w:proofErr w:type="spellStart"/>
      <w:r w:rsidRPr="004B1146">
        <w:rPr>
          <w:rFonts w:ascii="Garamond" w:hAnsi="Garamond"/>
          <w:bCs/>
          <w:sz w:val="24"/>
          <w:szCs w:val="24"/>
        </w:rPr>
        <w:t>Kergoat</w:t>
      </w:r>
      <w:proofErr w:type="spellEnd"/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sz w:val="24"/>
          <w:szCs w:val="24"/>
        </w:rPr>
        <w:t>AJCT</w:t>
      </w:r>
      <w:r w:rsidRPr="004B1146">
        <w:rPr>
          <w:rFonts w:ascii="Garamond" w:hAnsi="Garamond"/>
          <w:bCs/>
          <w:sz w:val="24"/>
          <w:szCs w:val="24"/>
        </w:rPr>
        <w:t xml:space="preserve"> 2016, n° 224</w:t>
      </w:r>
    </w:p>
    <w:p w14:paraId="6B4C15CF" w14:textId="77777777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60ED9099" w14:textId="2724F84F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Note sous l’arrêt du Conseil d’Etat, Assemblée, 14 avril 2014, </w:t>
      </w:r>
      <w:r w:rsidRPr="004B1146">
        <w:rPr>
          <w:rFonts w:ascii="Garamond" w:hAnsi="Garamond"/>
          <w:bCs/>
          <w:i/>
          <w:sz w:val="24"/>
          <w:szCs w:val="24"/>
        </w:rPr>
        <w:t>Département de Tarn-et-Garonne</w:t>
      </w:r>
      <w:r w:rsidRPr="004B1146">
        <w:rPr>
          <w:rFonts w:ascii="Garamond" w:hAnsi="Garamond"/>
          <w:bCs/>
          <w:sz w:val="24"/>
          <w:szCs w:val="24"/>
        </w:rPr>
        <w:t xml:space="preserve">, corédigée avec J.-F. Lafaix, </w:t>
      </w:r>
      <w:r w:rsidRPr="004B1146">
        <w:rPr>
          <w:rFonts w:ascii="Garamond" w:hAnsi="Garamond"/>
          <w:bCs/>
          <w:i/>
          <w:sz w:val="24"/>
          <w:szCs w:val="24"/>
        </w:rPr>
        <w:t>RDP</w:t>
      </w:r>
      <w:r w:rsidRPr="004B1146">
        <w:rPr>
          <w:rFonts w:ascii="Garamond" w:hAnsi="Garamond"/>
          <w:bCs/>
          <w:sz w:val="24"/>
          <w:szCs w:val="24"/>
        </w:rPr>
        <w:t xml:space="preserve"> 2014, p. 1175 </w:t>
      </w:r>
    </w:p>
    <w:p w14:paraId="14D114BA" w14:textId="77777777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3414E090" w14:textId="2A8C3C80" w:rsidR="004B1146" w:rsidRPr="004B1146" w:rsidRDefault="004B1146" w:rsidP="004B1146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4B1146">
        <w:rPr>
          <w:rFonts w:ascii="Garamond" w:hAnsi="Garamond"/>
          <w:bCs/>
          <w:sz w:val="24"/>
          <w:szCs w:val="24"/>
        </w:rPr>
        <w:t xml:space="preserve">Note sous l’arrêt du Conseil d’Etat, Assemblée, 12 juillet 2013, </w:t>
      </w:r>
      <w:r w:rsidRPr="004B1146">
        <w:rPr>
          <w:rFonts w:ascii="Garamond" w:hAnsi="Garamond"/>
          <w:bCs/>
          <w:i/>
          <w:sz w:val="24"/>
          <w:szCs w:val="24"/>
        </w:rPr>
        <w:t>Fédération nationale de la pêche en France</w:t>
      </w:r>
      <w:r w:rsidRPr="004B1146">
        <w:rPr>
          <w:rFonts w:ascii="Garamond" w:hAnsi="Garamond"/>
          <w:bCs/>
          <w:sz w:val="24"/>
          <w:szCs w:val="24"/>
        </w:rPr>
        <w:t xml:space="preserve">, </w:t>
      </w:r>
      <w:r w:rsidRPr="004B1146">
        <w:rPr>
          <w:rFonts w:ascii="Garamond" w:hAnsi="Garamond"/>
          <w:bCs/>
          <w:i/>
          <w:sz w:val="24"/>
          <w:szCs w:val="24"/>
        </w:rPr>
        <w:t xml:space="preserve">JCP </w:t>
      </w:r>
      <w:proofErr w:type="spellStart"/>
      <w:r w:rsidRPr="004B1146">
        <w:rPr>
          <w:rFonts w:ascii="Garamond" w:hAnsi="Garamond"/>
          <w:bCs/>
          <w:i/>
          <w:sz w:val="24"/>
          <w:szCs w:val="24"/>
        </w:rPr>
        <w:t>ed</w:t>
      </w:r>
      <w:proofErr w:type="spellEnd"/>
      <w:r w:rsidRPr="004B1146">
        <w:rPr>
          <w:rFonts w:ascii="Garamond" w:hAnsi="Garamond"/>
          <w:bCs/>
          <w:i/>
          <w:sz w:val="24"/>
          <w:szCs w:val="24"/>
        </w:rPr>
        <w:t>. G.</w:t>
      </w:r>
      <w:r w:rsidRPr="004B1146">
        <w:rPr>
          <w:rFonts w:ascii="Garamond" w:hAnsi="Garamond"/>
          <w:bCs/>
          <w:sz w:val="24"/>
          <w:szCs w:val="24"/>
        </w:rPr>
        <w:t xml:space="preserve"> 2013, n° 1215</w:t>
      </w:r>
    </w:p>
    <w:p w14:paraId="0F754400" w14:textId="77777777" w:rsidR="004B1146" w:rsidRPr="004B1146" w:rsidRDefault="004B1146">
      <w:pPr>
        <w:rPr>
          <w:bCs/>
          <w:sz w:val="24"/>
          <w:szCs w:val="24"/>
        </w:rPr>
      </w:pPr>
    </w:p>
    <w:sectPr w:rsidR="004B1146" w:rsidRPr="004B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9D"/>
    <w:rsid w:val="00363718"/>
    <w:rsid w:val="004B1146"/>
    <w:rsid w:val="00F37C4D"/>
    <w:rsid w:val="00F53A9D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8A3B"/>
  <w15:chartTrackingRefBased/>
  <w15:docId w15:val="{47660AA8-B0CE-4EC3-AAD8-3655D86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janicot</dc:creator>
  <cp:keywords/>
  <dc:description/>
  <cp:lastModifiedBy>laetitia janicot</cp:lastModifiedBy>
  <cp:revision>1</cp:revision>
  <dcterms:created xsi:type="dcterms:W3CDTF">2021-12-16T11:57:00Z</dcterms:created>
  <dcterms:modified xsi:type="dcterms:W3CDTF">2021-12-16T12:15:00Z</dcterms:modified>
</cp:coreProperties>
</file>